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89" w:rsidRPr="003F65D5" w:rsidRDefault="00423F89" w:rsidP="00623D77">
      <w:pPr>
        <w:tabs>
          <w:tab w:val="left" w:pos="888"/>
        </w:tabs>
        <w:spacing w:after="0" w:line="240" w:lineRule="auto"/>
        <w:rPr>
          <w:rFonts w:ascii="Times New Roman" w:eastAsia="Palatino Linotype" w:hAnsi="Times New Roman" w:cs="Times New Roman"/>
        </w:rPr>
      </w:pPr>
      <w:bookmarkStart w:id="0" w:name="_GoBack"/>
      <w:bookmarkEnd w:id="0"/>
    </w:p>
    <w:tbl>
      <w:tblPr>
        <w:tblStyle w:val="TableNormal"/>
        <w:tblpPr w:leftFromText="141" w:rightFromText="141" w:vertAnchor="text" w:tblpX="108" w:tblpY="1"/>
        <w:tblOverlap w:val="never"/>
        <w:tblW w:w="14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98"/>
        <w:gridCol w:w="3569"/>
        <w:gridCol w:w="3569"/>
        <w:gridCol w:w="3570"/>
      </w:tblGrid>
      <w:tr w:rsidR="00384694" w:rsidRPr="00B43550" w:rsidTr="00623D77">
        <w:trPr>
          <w:trHeight w:val="766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65D5" w:rsidRPr="00B43550" w:rsidRDefault="003F65D5" w:rsidP="00623D77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B43550" w:rsidRDefault="00043700" w:rsidP="00623D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3550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PROCESSI LAVORATIVI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384694" w:rsidP="00623D77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B43550" w:rsidRDefault="00043700" w:rsidP="00623D77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B43550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ORDINARIA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384694" w:rsidP="00623D77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B43550" w:rsidRDefault="00043700" w:rsidP="00623D77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B43550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IN MODALITA’ DI LAVORO AGILE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384694" w:rsidP="00623D77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B43550" w:rsidRDefault="00043700" w:rsidP="00623D77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B43550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STRUMENTI PER ATTIVITA’ IN MODALITA’ DI</w:t>
            </w:r>
            <w:r w:rsidR="00B43550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 xml:space="preserve"> </w:t>
            </w:r>
            <w:r w:rsidRPr="00B43550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LAVORO AGILE</w:t>
            </w:r>
          </w:p>
        </w:tc>
      </w:tr>
      <w:tr w:rsidR="000053C5" w:rsidRPr="00B43550" w:rsidTr="0062275E">
        <w:trPr>
          <w:trHeight w:val="96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3C5" w:rsidRPr="00B43550" w:rsidRDefault="000053C5" w:rsidP="0062275E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  <w:r w:rsidRPr="00B43550">
              <w:rPr>
                <w:rStyle w:val="Nessuno"/>
                <w:rFonts w:eastAsia="Palatino Linotype" w:cs="Times New Roman"/>
                <w:b/>
                <w:bCs/>
              </w:rPr>
              <w:t>Programmazione economica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3C5" w:rsidRPr="00B43550" w:rsidRDefault="000053C5" w:rsidP="00623D77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Comunicazione Uffici</w:t>
            </w:r>
            <w:r w:rsidR="00623D77" w:rsidRPr="00B43550">
              <w:rPr>
                <w:rFonts w:eastAsia="Palatino Linotype" w:cs="Times New Roman"/>
              </w:rPr>
              <w:t xml:space="preserve"> gestione capitoli e Ufficio del Capo Dipartimento -  Programmazione finanziaria e controllo di gestione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3C5" w:rsidRPr="00B43550" w:rsidRDefault="00623D77" w:rsidP="00623D77">
            <w:pPr>
              <w:spacing w:after="0" w:line="240" w:lineRule="auto"/>
              <w:rPr>
                <w:rStyle w:val="Nessuno"/>
                <w:rFonts w:eastAsia="Palatino Linotype" w:cs="Times New Roman"/>
                <w:b/>
                <w:bCs/>
                <w:i/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• </w:t>
            </w:r>
            <w:r w:rsidRPr="00B43550">
              <w:rPr>
                <w:rFonts w:eastAsia="Palatino Linotype" w:cs="Times New Roman"/>
                <w:i/>
              </w:rPr>
              <w:t>Comunicazione Uffici gestione capitoli e Ufficio del Capo Dipartimento -  Programmazione finanziaria e controllo di gestione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3C5" w:rsidRPr="00B43550" w:rsidRDefault="000053C5" w:rsidP="00623D77">
            <w:pPr>
              <w:spacing w:after="0" w:line="240" w:lineRule="auto"/>
              <w:rPr>
                <w:rStyle w:val="Nessuno"/>
                <w:rFonts w:eastAsia="Palatino Linotype" w:cs="Times New Roman"/>
                <w:bCs/>
              </w:rPr>
            </w:pPr>
          </w:p>
        </w:tc>
      </w:tr>
      <w:tr w:rsidR="00384694" w:rsidRPr="00B43550" w:rsidTr="0062275E">
        <w:trPr>
          <w:trHeight w:val="246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043700" w:rsidP="0062275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>Fase propedeutica avvio procedura di gara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043700" w:rsidP="00673FF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Acquisizione ed esame</w:t>
            </w:r>
            <w:r w:rsidRPr="00B43550">
              <w:rPr>
                <w:rStyle w:val="Nessuno"/>
                <w:rFonts w:eastAsia="Palatino Linotype" w:cs="Times New Roman"/>
              </w:rPr>
              <w:t xml:space="preserve"> documentazione trasmessa da Uffici proponenti (relazione illustrativa, specifiche tecniche, quadro economico) </w:t>
            </w:r>
          </w:p>
          <w:p w:rsidR="00384694" w:rsidRPr="00B43550" w:rsidRDefault="00CA584F" w:rsidP="00673FF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Style w:val="Nessuno"/>
                <w:rFonts w:eastAsia="Palatino Linotype" w:cs="Times New Roman"/>
              </w:rPr>
              <w:t xml:space="preserve">Interlocuzione </w:t>
            </w:r>
            <w:r w:rsidR="00043700" w:rsidRPr="00B43550">
              <w:rPr>
                <w:rStyle w:val="Nessuno"/>
                <w:rFonts w:eastAsia="Palatino Linotype" w:cs="Times New Roman"/>
              </w:rPr>
              <w:t xml:space="preserve">ed eventuale formulazione proposta modifica/integrazione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043700" w:rsidP="00673FF2">
            <w:pPr>
              <w:spacing w:after="0" w:line="240" w:lineRule="auto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• </w:t>
            </w:r>
            <w:r w:rsidR="003F65D5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</w:t>
            </w: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same documentazione ed eventuale formulazione osservazioni per proposta modifica/integrazione </w:t>
            </w:r>
          </w:p>
          <w:p w:rsidR="00384694" w:rsidRPr="00B43550" w:rsidRDefault="00043700" w:rsidP="00306A04">
            <w:pPr>
              <w:spacing w:after="0" w:line="240" w:lineRule="auto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• </w:t>
            </w:r>
            <w:r w:rsidR="003F65D5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</w:t>
            </w: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ventuale attività di supporto attivazione profilo R.U.P. su portale A.N.A.C. 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602B61" w:rsidP="00673FF2">
            <w:p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  <w:r w:rsidR="00555F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redenziali accesso 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Portale ANAC</w:t>
            </w:r>
          </w:p>
        </w:tc>
      </w:tr>
      <w:tr w:rsidR="00384694" w:rsidRPr="00B43550" w:rsidTr="0062275E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043700" w:rsidP="0062275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>Avvio procedura di gara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043700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Predisposizione atti della procedura di gara (determina, disciplinare, modelli dichiarazioni sostitutive, schema contratto) </w:t>
            </w:r>
          </w:p>
          <w:p w:rsidR="00384694" w:rsidRPr="00B43550" w:rsidRDefault="003946BD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Pubblicazione 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procedura di gara su </w:t>
            </w: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piattaforme telematiche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Consip</w:t>
            </w:r>
            <w:proofErr w:type="spellEnd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602B61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proofErr w:type="spellStart"/>
            <w:r w:rsidR="00602B61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Me.P.A</w:t>
            </w:r>
            <w:proofErr w:type="spellEnd"/>
            <w:r w:rsidR="00602B61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attraverso </w:t>
            </w: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unto istruttore</w:t>
            </w:r>
          </w:p>
          <w:p w:rsidR="008427C6" w:rsidRPr="00B43550" w:rsidRDefault="008427C6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Obblighi di pubblicazione ai sensi del </w:t>
            </w:r>
            <w:proofErr w:type="spellStart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D.Lgs.</w:t>
            </w:r>
            <w:proofErr w:type="spellEnd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n. 33/2013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3F65D5" w:rsidP="00673FF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</w:t>
            </w:r>
            <w:r w:rsidR="00043700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edazione bozze documentazione di gara (determina, disciplinare, modelli dichiarazioni sostitutive, schema contratto) </w:t>
            </w:r>
          </w:p>
          <w:p w:rsidR="00384694" w:rsidRPr="00B43550" w:rsidRDefault="00043700" w:rsidP="00673FF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Attività di supporto al R.U.P. per acquisizione C.I.G. </w:t>
            </w:r>
          </w:p>
          <w:p w:rsidR="003946BD" w:rsidRPr="00B43550" w:rsidRDefault="00043700" w:rsidP="00423F89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Punto istruttore: caricamento documentazione di gara</w:t>
            </w:r>
            <w:r w:rsidR="003946BD" w:rsidRPr="00B43550">
              <w:rPr>
                <w:i/>
              </w:rPr>
              <w:t xml:space="preserve"> </w:t>
            </w:r>
            <w:r w:rsidR="003946BD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ed invio al Punto ordinante per la pubblicazione</w:t>
            </w: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su piattafo</w:t>
            </w:r>
            <w:r w:rsidR="00602B61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rme telematiche </w:t>
            </w:r>
            <w:proofErr w:type="spellStart"/>
            <w:r w:rsidR="00602B61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Consip</w:t>
            </w:r>
            <w:proofErr w:type="spellEnd"/>
            <w:r w:rsidR="00602B61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602B61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Me.P.A</w:t>
            </w:r>
            <w:proofErr w:type="spellEnd"/>
            <w:r w:rsidR="00602B61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  <w:p w:rsidR="00555F00" w:rsidRPr="00B43550" w:rsidRDefault="003946BD" w:rsidP="00423F89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55F00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Pubblicazione determina a contrarre ed eventuale a</w:t>
            </w:r>
            <w:r w:rsidR="002C66AC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vviso esplorativo</w:t>
            </w:r>
            <w:r w:rsidR="00555F00"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di interesse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FF2" w:rsidRPr="00B43550" w:rsidRDefault="00602B61" w:rsidP="00673FF2">
            <w:p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  <w:r w:rsidR="00555F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redenziali </w:t>
            </w:r>
            <w:r w:rsidR="008427C6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ccesso portal</w:t>
            </w:r>
            <w:r w:rsidR="008427C6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ANAC e </w:t>
            </w:r>
            <w:proofErr w:type="spellStart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Consip</w:t>
            </w:r>
            <w:proofErr w:type="spellEnd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Me.P.A</w:t>
            </w:r>
            <w:proofErr w:type="spellEnd"/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  <w:r w:rsidR="00043700"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  <w:p w:rsidR="00673FF2" w:rsidRPr="00B43550" w:rsidRDefault="00673FF2" w:rsidP="00673FF2">
            <w:pPr>
              <w:rPr>
                <w:rFonts w:cs="Times New Roman"/>
              </w:rPr>
            </w:pPr>
          </w:p>
          <w:p w:rsidR="00673FF2" w:rsidRPr="00B43550" w:rsidRDefault="00673FF2" w:rsidP="00673FF2">
            <w:pPr>
              <w:rPr>
                <w:rFonts w:cs="Times New Roman"/>
              </w:rPr>
            </w:pPr>
          </w:p>
          <w:p w:rsidR="008354EE" w:rsidRPr="00B43550" w:rsidRDefault="00673FF2" w:rsidP="002C66AC">
            <w:pPr>
              <w:tabs>
                <w:tab w:val="left" w:pos="1092"/>
                <w:tab w:val="left" w:pos="2595"/>
              </w:tabs>
              <w:rPr>
                <w:rFonts w:cs="Times New Roman"/>
              </w:rPr>
            </w:pPr>
            <w:r w:rsidRPr="00B43550">
              <w:rPr>
                <w:rFonts w:cs="Times New Roman"/>
              </w:rPr>
              <w:tab/>
            </w:r>
            <w:r w:rsidR="002C66AC" w:rsidRPr="00B43550">
              <w:rPr>
                <w:rFonts w:cs="Times New Roman"/>
              </w:rPr>
              <w:tab/>
            </w:r>
          </w:p>
          <w:p w:rsidR="00384694" w:rsidRPr="00B43550" w:rsidRDefault="00384694" w:rsidP="008354EE">
            <w:pPr>
              <w:jc w:val="right"/>
              <w:rPr>
                <w:rFonts w:cs="Times New Roman"/>
              </w:rPr>
            </w:pPr>
          </w:p>
          <w:p w:rsidR="00130130" w:rsidRPr="00B43550" w:rsidRDefault="00130130" w:rsidP="008354EE">
            <w:pPr>
              <w:jc w:val="right"/>
              <w:rPr>
                <w:rFonts w:cs="Times New Roman"/>
              </w:rPr>
            </w:pPr>
          </w:p>
          <w:p w:rsidR="00130130" w:rsidRPr="00B43550" w:rsidRDefault="00130130" w:rsidP="008354EE">
            <w:pPr>
              <w:jc w:val="right"/>
              <w:rPr>
                <w:rFonts w:cs="Times New Roman"/>
              </w:rPr>
            </w:pPr>
          </w:p>
          <w:p w:rsidR="00130130" w:rsidRPr="00B43550" w:rsidRDefault="00130130" w:rsidP="008354EE">
            <w:pPr>
              <w:jc w:val="right"/>
              <w:rPr>
                <w:rFonts w:cs="Times New Roman"/>
              </w:rPr>
            </w:pPr>
          </w:p>
          <w:p w:rsidR="00130130" w:rsidRPr="00B43550" w:rsidRDefault="00130130" w:rsidP="00130130">
            <w:pPr>
              <w:rPr>
                <w:rFonts w:cs="Times New Roman"/>
              </w:rPr>
            </w:pPr>
          </w:p>
        </w:tc>
      </w:tr>
      <w:tr w:rsidR="00384694" w:rsidRPr="00B43550" w:rsidTr="0062275E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3066C2" w:rsidP="0062275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lastRenderedPageBreak/>
              <w:t>Aggiudicazione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490F" w:rsidRPr="00B43550" w:rsidRDefault="0040490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>Valutazione offerte presentate</w:t>
            </w:r>
          </w:p>
          <w:p w:rsidR="0040490F" w:rsidRPr="00B43550" w:rsidRDefault="0040490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 xml:space="preserve">Proposta di aggiudicazione </w:t>
            </w:r>
          </w:p>
          <w:p w:rsidR="00384694" w:rsidRPr="00B43550" w:rsidRDefault="0040490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 xml:space="preserve">Controlli ex art 80 </w:t>
            </w:r>
            <w:proofErr w:type="spellStart"/>
            <w:r w:rsidRPr="00B43550">
              <w:rPr>
                <w:rFonts w:cs="Times New Roman"/>
              </w:rPr>
              <w:t>D.Lgs.</w:t>
            </w:r>
            <w:proofErr w:type="spellEnd"/>
            <w:r w:rsidRPr="00B43550">
              <w:rPr>
                <w:rFonts w:cs="Times New Roman"/>
              </w:rPr>
              <w:t xml:space="preserve"> 50/2016</w:t>
            </w:r>
          </w:p>
          <w:p w:rsidR="0040490F" w:rsidRPr="00B43550" w:rsidRDefault="0040490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>Aggiudicazione definitiva</w:t>
            </w:r>
          </w:p>
          <w:p w:rsidR="003946BD" w:rsidRPr="00B43550" w:rsidRDefault="003946BD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 xml:space="preserve">Obblighi di pubblicazione ai sensi del </w:t>
            </w:r>
            <w:proofErr w:type="spellStart"/>
            <w:r w:rsidRPr="00B43550">
              <w:rPr>
                <w:rFonts w:cs="Times New Roman"/>
              </w:rPr>
              <w:t>D.Lgs.</w:t>
            </w:r>
            <w:proofErr w:type="spellEnd"/>
            <w:r w:rsidRPr="00B43550">
              <w:rPr>
                <w:rFonts w:cs="Times New Roman"/>
              </w:rPr>
              <w:t xml:space="preserve"> n. 33/2013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490F" w:rsidRPr="00B43550" w:rsidRDefault="0040490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Redazione bozza provvedimento di aggiudicazione</w:t>
            </w:r>
          </w:p>
          <w:p w:rsidR="000F0E62" w:rsidRPr="00B43550" w:rsidRDefault="003F65D5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 xml:space="preserve">Predisposizione richieste di </w:t>
            </w:r>
            <w:r w:rsidR="0040490F" w:rsidRPr="00B43550">
              <w:rPr>
                <w:rFonts w:cs="Times New Roman"/>
                <w:i/>
              </w:rPr>
              <w:t xml:space="preserve"> </w:t>
            </w:r>
            <w:proofErr w:type="spellStart"/>
            <w:r w:rsidRPr="00B43550">
              <w:rPr>
                <w:rFonts w:cs="Times New Roman"/>
                <w:i/>
              </w:rPr>
              <w:t>effetuazione</w:t>
            </w:r>
            <w:proofErr w:type="spellEnd"/>
            <w:r w:rsidRPr="00B43550">
              <w:rPr>
                <w:rFonts w:cs="Times New Roman"/>
                <w:i/>
              </w:rPr>
              <w:t xml:space="preserve"> dei </w:t>
            </w:r>
            <w:r w:rsidR="0040490F" w:rsidRPr="00B43550">
              <w:rPr>
                <w:rFonts w:cs="Times New Roman"/>
                <w:i/>
              </w:rPr>
              <w:t xml:space="preserve">controlli </w:t>
            </w:r>
            <w:r w:rsidRPr="00B43550">
              <w:rPr>
                <w:rFonts w:cs="Times New Roman"/>
                <w:i/>
              </w:rPr>
              <w:t xml:space="preserve">ex art. 80 </w:t>
            </w:r>
            <w:proofErr w:type="spellStart"/>
            <w:r w:rsidRPr="00B43550">
              <w:rPr>
                <w:rFonts w:cs="Times New Roman"/>
                <w:i/>
              </w:rPr>
              <w:t>D.Lgs.</w:t>
            </w:r>
            <w:proofErr w:type="spellEnd"/>
            <w:r w:rsidRPr="00B43550">
              <w:rPr>
                <w:rFonts w:cs="Times New Roman"/>
                <w:i/>
              </w:rPr>
              <w:t xml:space="preserve"> 50/2016 agli Uffici competenti </w:t>
            </w:r>
            <w:r w:rsidR="0040490F" w:rsidRPr="00B43550">
              <w:rPr>
                <w:rFonts w:cs="Times New Roman"/>
                <w:i/>
              </w:rPr>
              <w:t>(Ufficio del Casellario c/o Procura della Repubblica, Agenzia delle Entrate ecc.)</w:t>
            </w:r>
          </w:p>
          <w:p w:rsidR="0040490F" w:rsidRPr="00B43550" w:rsidRDefault="0040490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 xml:space="preserve">Controlli </w:t>
            </w:r>
            <w:r w:rsidR="003F65D5" w:rsidRPr="00B43550">
              <w:rPr>
                <w:rFonts w:cs="Times New Roman"/>
                <w:i/>
              </w:rPr>
              <w:t xml:space="preserve">ex art. 80 </w:t>
            </w:r>
            <w:proofErr w:type="spellStart"/>
            <w:r w:rsidR="003F65D5" w:rsidRPr="00B43550">
              <w:rPr>
                <w:rFonts w:cs="Times New Roman"/>
                <w:i/>
              </w:rPr>
              <w:t>D.Lgs.</w:t>
            </w:r>
            <w:proofErr w:type="spellEnd"/>
            <w:r w:rsidR="003F65D5" w:rsidRPr="00B43550">
              <w:rPr>
                <w:rFonts w:cs="Times New Roman"/>
                <w:i/>
              </w:rPr>
              <w:t xml:space="preserve"> 50/2016 </w:t>
            </w:r>
            <w:r w:rsidRPr="00B43550">
              <w:rPr>
                <w:rFonts w:cs="Times New Roman"/>
                <w:i/>
              </w:rPr>
              <w:t xml:space="preserve">tramite </w:t>
            </w:r>
            <w:proofErr w:type="spellStart"/>
            <w:r w:rsidRPr="00B43550">
              <w:rPr>
                <w:rFonts w:cs="Times New Roman"/>
                <w:i/>
              </w:rPr>
              <w:t>AvcPass</w:t>
            </w:r>
            <w:proofErr w:type="spellEnd"/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423F89" w:rsidP="00673FF2">
            <w:pPr>
              <w:spacing w:line="240" w:lineRule="auto"/>
              <w:rPr>
                <w:rFonts w:cs="Times New Roman"/>
              </w:rPr>
            </w:pPr>
            <w:r w:rsidRPr="00B43550">
              <w:rPr>
                <w:rFonts w:cs="Times New Roman"/>
              </w:rPr>
              <w:t>C</w:t>
            </w:r>
            <w:r w:rsidR="0040490F" w:rsidRPr="00B43550">
              <w:rPr>
                <w:rFonts w:cs="Times New Roman"/>
              </w:rPr>
              <w:t>redenziali accesso portale ANAC</w:t>
            </w:r>
          </w:p>
        </w:tc>
      </w:tr>
      <w:tr w:rsidR="00384694" w:rsidRPr="00B43550" w:rsidTr="0062275E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3066C2" w:rsidP="0062275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>Stipula contratto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7C4F4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>Richiesta documenti per stipula</w:t>
            </w:r>
          </w:p>
          <w:p w:rsidR="007C4F4F" w:rsidRPr="00B43550" w:rsidRDefault="007C4F4F" w:rsidP="000F0E6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 xml:space="preserve">Stipula ai sensi dell’art. 32, comma 14, del D.lgs. 50/2016 (atto pubblico notarile informatico, ovvero in modalità elettronica, in forma pubblica amministrativa a cura dell’Ufficiale rogante, ovvero mediante corrispondenza secondo l’uso del commercio)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7C4F4F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Redazione bozza contratto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384694" w:rsidP="00673FF2">
            <w:pPr>
              <w:spacing w:line="240" w:lineRule="auto"/>
              <w:rPr>
                <w:rFonts w:cs="Times New Roman"/>
              </w:rPr>
            </w:pPr>
          </w:p>
        </w:tc>
      </w:tr>
      <w:tr w:rsidR="00384694" w:rsidRPr="00B43550" w:rsidTr="0062275E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B43550" w:rsidRDefault="003066C2" w:rsidP="0062275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>Approvazione contratto e trasmissione ad organi di controllo: Corte dei Conti/Ragioneria Generale dello Stato - Ufficio Centrale del Bilancio c/o Ministero della Giustizia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7C4F4F" w:rsidP="000F0E6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cs="Times New Roman"/>
              </w:rPr>
              <w:t>Predisposizione provvedimento di approvazione contratto corredato della relativa documentazione</w:t>
            </w:r>
          </w:p>
          <w:p w:rsidR="003F65D5" w:rsidRPr="00B43550" w:rsidRDefault="003F65D5" w:rsidP="000F0E6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cs="Times New Roman"/>
              </w:rPr>
              <w:t>Invio all’Organo di controllo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3F65D5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Redazione bozza provvedimento di approvazione contratto</w:t>
            </w:r>
          </w:p>
          <w:p w:rsidR="003F65D5" w:rsidRPr="00B43550" w:rsidRDefault="003F65D5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Collazione documentazione allegata al provvedimento di approvazione contratto</w:t>
            </w:r>
          </w:p>
          <w:p w:rsidR="003F65D5" w:rsidRPr="00B43550" w:rsidRDefault="003F65D5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Predisposizione lettere di trasmissione agli organi di controllo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43550" w:rsidRDefault="00384694" w:rsidP="00673FF2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673FF2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673FF2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673FF2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673FF2">
            <w:pPr>
              <w:spacing w:line="240" w:lineRule="auto"/>
              <w:rPr>
                <w:rFonts w:cs="Times New Roman"/>
              </w:rPr>
            </w:pPr>
          </w:p>
          <w:p w:rsidR="00130130" w:rsidRPr="00B43550" w:rsidRDefault="00130130" w:rsidP="00673FF2">
            <w:pPr>
              <w:spacing w:line="240" w:lineRule="auto"/>
              <w:rPr>
                <w:rFonts w:cs="Times New Roman"/>
              </w:rPr>
            </w:pPr>
          </w:p>
          <w:p w:rsidR="00130130" w:rsidRPr="00B43550" w:rsidRDefault="00130130" w:rsidP="00673FF2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673FF2">
            <w:pPr>
              <w:spacing w:line="240" w:lineRule="auto"/>
              <w:rPr>
                <w:rFonts w:cs="Times New Roman"/>
              </w:rPr>
            </w:pPr>
          </w:p>
          <w:p w:rsidR="00130130" w:rsidRPr="00B43550" w:rsidRDefault="00130130" w:rsidP="00673FF2">
            <w:pPr>
              <w:spacing w:line="240" w:lineRule="auto"/>
              <w:rPr>
                <w:rFonts w:cs="Times New Roman"/>
              </w:rPr>
            </w:pPr>
          </w:p>
        </w:tc>
      </w:tr>
      <w:tr w:rsidR="0062275E" w:rsidRPr="00B43550" w:rsidTr="00130130">
        <w:trPr>
          <w:trHeight w:val="969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747" w:rsidRPr="00B43550" w:rsidRDefault="0062275E" w:rsidP="00265747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lastRenderedPageBreak/>
              <w:t xml:space="preserve">Pagamenti – decreto </w:t>
            </w:r>
            <w:r w:rsidR="00265747" w:rsidRPr="00B43550">
              <w:rPr>
                <w:rFonts w:eastAsia="Palatino Linotype" w:cs="Times New Roman"/>
                <w:b/>
              </w:rPr>
              <w:t>di pagamento su impegno</w:t>
            </w:r>
          </w:p>
          <w:p w:rsidR="0062275E" w:rsidRPr="00B43550" w:rsidRDefault="0062275E" w:rsidP="00265747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56D" w:rsidRPr="00B43550" w:rsidRDefault="0062275E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Predisposizione</w:t>
            </w:r>
            <w:r w:rsidR="00F0156D" w:rsidRPr="00B43550">
              <w:rPr>
                <w:rFonts w:eastAsia="Palatino Linotype" w:cs="Times New Roman"/>
              </w:rPr>
              <w:t xml:space="preserve"> decreto pagamento per inoltro alla firma della stazione appaltante</w:t>
            </w:r>
          </w:p>
          <w:p w:rsidR="00F0156D" w:rsidRPr="00B43550" w:rsidRDefault="00F0156D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Verifica esatta esecuzione</w:t>
            </w:r>
          </w:p>
          <w:p w:rsidR="00F0156D" w:rsidRPr="00B43550" w:rsidRDefault="00EC1365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Richiesta o p</w:t>
            </w:r>
            <w:r w:rsidR="00F0156D" w:rsidRPr="00B43550">
              <w:rPr>
                <w:rFonts w:eastAsia="Palatino Linotype" w:cs="Times New Roman"/>
              </w:rPr>
              <w:t>redisposizione regolare esecuzione con successivo inoltro al RUP con documento di esatta esecuzione</w:t>
            </w:r>
          </w:p>
          <w:p w:rsidR="00F0156D" w:rsidRPr="00B43550" w:rsidRDefault="00F0156D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Assunzione nel sistema di protocollazione della regolare esecuzione</w:t>
            </w:r>
          </w:p>
          <w:p w:rsidR="00F0156D" w:rsidRPr="00B43550" w:rsidRDefault="00F0156D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Verifica in corso di validità del DURC</w:t>
            </w:r>
          </w:p>
          <w:p w:rsidR="00F0156D" w:rsidRPr="00B43550" w:rsidRDefault="00F0156D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In caso di importo al netto, superiore ad € 5000,00 verifica sulla piattaforma Me.PA dell’assenza di pendenze con l’Agenzia delle Entrate</w:t>
            </w:r>
          </w:p>
          <w:p w:rsidR="00F0156D" w:rsidRPr="00B43550" w:rsidRDefault="00F0156D" w:rsidP="0062275E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Registrazione fattura sul portale SICOGE</w:t>
            </w:r>
          </w:p>
          <w:p w:rsidR="0062275E" w:rsidRPr="00B43550" w:rsidRDefault="00265747" w:rsidP="002A57C0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 xml:space="preserve">Predisposizione ordine di pagare </w:t>
            </w:r>
            <w:r w:rsidR="0062275E" w:rsidRPr="00B43550">
              <w:rPr>
                <w:rFonts w:eastAsia="Palatino Linotype" w:cs="Times New Roman"/>
              </w:rPr>
              <w:t>e</w:t>
            </w:r>
            <w:r w:rsidRPr="00B43550">
              <w:rPr>
                <w:rFonts w:eastAsia="Palatino Linotype" w:cs="Times New Roman"/>
              </w:rPr>
              <w:t xml:space="preserve"> realizzazione </w:t>
            </w:r>
            <w:r w:rsidR="0062275E" w:rsidRPr="00B43550">
              <w:rPr>
                <w:rFonts w:eastAsia="Palatino Linotype" w:cs="Times New Roman"/>
              </w:rPr>
              <w:t>fascicolo elettronico del decreto d’impegno</w:t>
            </w:r>
            <w:r w:rsidRPr="00B43550">
              <w:rPr>
                <w:rFonts w:eastAsia="Palatino Linotype" w:cs="Times New Roman"/>
              </w:rPr>
              <w:t xml:space="preserve"> ad impegno</w:t>
            </w:r>
            <w:r w:rsidR="0062275E" w:rsidRPr="00B43550">
              <w:rPr>
                <w:rFonts w:eastAsia="Palatino Linotype" w:cs="Times New Roman"/>
              </w:rPr>
              <w:t xml:space="preserve"> nel portale SICOGE</w:t>
            </w:r>
          </w:p>
          <w:p w:rsidR="002A57C0" w:rsidRPr="00B43550" w:rsidRDefault="002A57C0" w:rsidP="002A57C0">
            <w:pPr>
              <w:pStyle w:val="Paragrafoelenco"/>
              <w:numPr>
                <w:ilvl w:val="0"/>
                <w:numId w:val="7"/>
              </w:numPr>
              <w:spacing w:after="0"/>
              <w:rPr>
                <w:rFonts w:cs="Times New Roman"/>
              </w:rPr>
            </w:pPr>
            <w:r w:rsidRPr="00B43550">
              <w:rPr>
                <w:rFonts w:cs="Times New Roman"/>
              </w:rPr>
              <w:t>Predisposizione conformità ai sensi de</w:t>
            </w:r>
            <w:r w:rsidR="00130130" w:rsidRPr="00B43550">
              <w:rPr>
                <w:rFonts w:cs="Times New Roman"/>
              </w:rPr>
              <w:t>l CAD – Codice dell’Amministrazione Digitalizzata</w:t>
            </w:r>
          </w:p>
          <w:p w:rsidR="002A57C0" w:rsidRPr="00B43550" w:rsidRDefault="002A57C0" w:rsidP="002A57C0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cs="Times New Roman"/>
              </w:rPr>
              <w:t>Inoltro alla firma della stazione appaltante dell’ordine di pagare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5747" w:rsidRPr="00B43550" w:rsidRDefault="00265747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Predisposizione decreto pagamento per inoltro alla firma della stazione appaltante</w:t>
            </w:r>
          </w:p>
          <w:p w:rsidR="00265747" w:rsidRPr="00B43550" w:rsidRDefault="00265747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Verifica esatta esecuzione</w:t>
            </w:r>
          </w:p>
          <w:p w:rsidR="00265747" w:rsidRPr="00B43550" w:rsidRDefault="00EC1365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Richiesta o predisposizione</w:t>
            </w:r>
            <w:r w:rsidR="00265747" w:rsidRPr="00B43550">
              <w:rPr>
                <w:rFonts w:cs="Times New Roman"/>
                <w:i/>
              </w:rPr>
              <w:t xml:space="preserve"> regolare esecuzione con successivo inoltro al RUP con documento di esatta esecuzione</w:t>
            </w:r>
          </w:p>
          <w:p w:rsidR="00265747" w:rsidRPr="00B43550" w:rsidRDefault="00265747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Assunzione nel sistema di protocollazione della regolare esecuzione</w:t>
            </w:r>
          </w:p>
          <w:p w:rsidR="00265747" w:rsidRPr="00B43550" w:rsidRDefault="00265747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Verifica in corso di validità del DURC</w:t>
            </w:r>
          </w:p>
          <w:p w:rsidR="00265747" w:rsidRPr="00B43550" w:rsidRDefault="00265747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In caso di importo al netto, superiore ad € 5000,00 verifica sulla piattaforma Me.PA dell’assenza di pendenze con l’Agenzia delle Entrate</w:t>
            </w:r>
          </w:p>
          <w:p w:rsidR="00265747" w:rsidRPr="00B43550" w:rsidRDefault="00265747" w:rsidP="00265747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Registrazione fattura sul portale SICOGE</w:t>
            </w:r>
          </w:p>
          <w:p w:rsidR="0062275E" w:rsidRPr="00B43550" w:rsidRDefault="002A57C0" w:rsidP="002A57C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Predisposizione ordine di pagare e realizzazione fascicolo elettronico del decreto d’impegno ad impegno nel portale SICOGE</w:t>
            </w:r>
          </w:p>
          <w:p w:rsidR="00130130" w:rsidRPr="00B43550" w:rsidRDefault="00130130" w:rsidP="00130130">
            <w:pPr>
              <w:pStyle w:val="Paragrafoelenco"/>
              <w:numPr>
                <w:ilvl w:val="0"/>
                <w:numId w:val="7"/>
              </w:numPr>
              <w:spacing w:after="0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Predisposizione conformità ai sensi del CAD – Codice dell’Amministrazione Digitalizzata</w:t>
            </w:r>
          </w:p>
          <w:p w:rsidR="002A57C0" w:rsidRPr="00B43550" w:rsidRDefault="002A57C0" w:rsidP="002A57C0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145" w:hanging="142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Inoltro alla firma della stazione appaltante dell’ordine di pagare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275E" w:rsidRPr="00B43550" w:rsidRDefault="00265747" w:rsidP="00265747">
            <w:pPr>
              <w:spacing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SICOGE –</w:t>
            </w:r>
            <w:r w:rsidRPr="00B43550">
              <w:rPr>
                <w:rFonts w:cs="Arial"/>
                <w:caps/>
                <w:color w:val="505050"/>
                <w:shd w:val="clear" w:color="auto" w:fill="FFFFFF"/>
              </w:rPr>
              <w:t xml:space="preserve"> </w:t>
            </w:r>
            <w:r w:rsidRPr="00B43550">
              <w:rPr>
                <w:rFonts w:eastAsia="Palatino Linotype" w:cs="Times New Roman"/>
              </w:rPr>
              <w:t>sistema per la gestione integrata</w:t>
            </w:r>
            <w:r w:rsidRPr="00B43550">
              <w:rPr>
                <w:rFonts w:eastAsia="Palatino Linotype" w:cs="Times New Roman"/>
              </w:rPr>
              <w:br/>
              <w:t>della contabilità economica e finanziaria</w:t>
            </w: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DURC online</w:t>
            </w: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Me.PA</w:t>
            </w: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</w:tc>
      </w:tr>
      <w:tr w:rsidR="00265747" w:rsidRPr="00B43550" w:rsidTr="0062275E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747" w:rsidRPr="00B43550" w:rsidRDefault="00265747" w:rsidP="002A57C0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lastRenderedPageBreak/>
              <w:t xml:space="preserve">Pagamenti – decreto </w:t>
            </w:r>
            <w:r w:rsidR="002A57C0" w:rsidRPr="00B43550">
              <w:rPr>
                <w:rFonts w:eastAsia="Palatino Linotype" w:cs="Times New Roman"/>
                <w:b/>
              </w:rPr>
              <w:t xml:space="preserve">di pagamento </w:t>
            </w:r>
            <w:r w:rsidRPr="00B43550">
              <w:rPr>
                <w:rFonts w:eastAsia="Palatino Linotype" w:cs="Times New Roman"/>
                <w:b/>
              </w:rPr>
              <w:t>ad</w:t>
            </w:r>
            <w:r w:rsidR="002A57C0" w:rsidRPr="00B43550">
              <w:rPr>
                <w:rFonts w:eastAsia="Palatino Linotype" w:cs="Times New Roman"/>
                <w:b/>
              </w:rPr>
              <w:t xml:space="preserve"> impegno </w:t>
            </w:r>
            <w:r w:rsidRPr="00B43550">
              <w:rPr>
                <w:rFonts w:eastAsia="Palatino Linotype" w:cs="Times New Roman"/>
                <w:b/>
              </w:rPr>
              <w:t>contemporaneo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1365" w:rsidRPr="00B43550" w:rsidRDefault="00EC1365" w:rsidP="00130130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Predisposizione decreto pagamento ad impegno contemporaneo per inoltro alla firma della stazione appaltante</w:t>
            </w:r>
          </w:p>
          <w:p w:rsidR="00EC1365" w:rsidRPr="00B43550" w:rsidRDefault="00EC1365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Verifica esatta esecuzione</w:t>
            </w:r>
          </w:p>
          <w:p w:rsidR="00EC1365" w:rsidRPr="00B43550" w:rsidRDefault="00EC1365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Richiesta o predisposizione regolare esecuzione con successivo inoltro al RUP con documento di esatta esecuzione</w:t>
            </w:r>
          </w:p>
          <w:p w:rsidR="00EC1365" w:rsidRPr="00B43550" w:rsidRDefault="00EC1365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Assunzione nel sistema di protocollazione della regolare esecuzione</w:t>
            </w:r>
          </w:p>
          <w:p w:rsidR="00EC1365" w:rsidRPr="00B43550" w:rsidRDefault="00EC1365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Verifica in corso di validità del DURC</w:t>
            </w:r>
          </w:p>
          <w:p w:rsidR="00EC1365" w:rsidRPr="00B43550" w:rsidRDefault="00EC1365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In caso di importo al netto, superiore ad € 5000,00 verifica sulla piattaforma Me.PA dell’assenza di pendenze con l’Agenzia delle Entrate</w:t>
            </w:r>
          </w:p>
          <w:p w:rsidR="002A57C0" w:rsidRPr="00B43550" w:rsidRDefault="002A57C0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Registrazione del contratto sul portale SICOGE</w:t>
            </w:r>
          </w:p>
          <w:p w:rsidR="002A57C0" w:rsidRPr="00B43550" w:rsidRDefault="002A57C0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Registrazione fattura sul portale SICOGE</w:t>
            </w:r>
          </w:p>
          <w:p w:rsidR="002A57C0" w:rsidRPr="00B43550" w:rsidRDefault="002A57C0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</w:rPr>
              <w:t>Predisposizione ordine di pagare e realizzazione fascicolo elettronico del decreto di pagamento ad impegno contemporaneo nel portale SICOGE</w:t>
            </w:r>
          </w:p>
          <w:p w:rsidR="00130130" w:rsidRPr="00B43550" w:rsidRDefault="00130130" w:rsidP="0013013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cs="Times New Roman"/>
              </w:rPr>
              <w:t>Predisposizione conformità ai sensi del CAD – Codice dell’Amministrazione Digitalizzata</w:t>
            </w:r>
          </w:p>
          <w:p w:rsidR="002A57C0" w:rsidRPr="00B43550" w:rsidRDefault="00130130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cs="Times New Roman"/>
              </w:rPr>
              <w:t>Inoltro alla firma della stazione appaltante dell’ordine di pagare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pStyle w:val="Paragrafoelenco"/>
              <w:numPr>
                <w:ilvl w:val="0"/>
                <w:numId w:val="6"/>
              </w:numPr>
              <w:spacing w:after="0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Predisposizione decreto pagamento ad impegno contemporaneo per inoltro alla firma della stazione appaltante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Verifica esatta esecuzione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Richiesta o predisposizione regolare esecuzione con successivo inoltro al RUP con documento di esatta esecuzione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Assunzione nel sistema di protocollazione della regolare esecuzione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Verifica in corso di validità del DURC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In caso di importo al netto, superiore ad € 5000,00 verifica sulla piattaforma Me.PA dell’assenza di pendenze con l’Agenzia delle Entrate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Registrazione del contratto sul portale SICOGE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Registrazione fattura sul portale SICOGE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Predisposizione ordine di pagare e realizzazione fascicolo elettronico del decreto di pagamento ad impegno contemporaneo nel portale SICOGE</w:t>
            </w:r>
          </w:p>
          <w:p w:rsidR="00130130" w:rsidRPr="00B43550" w:rsidRDefault="00130130" w:rsidP="00130130">
            <w:pPr>
              <w:pStyle w:val="Paragrafoelenco"/>
              <w:numPr>
                <w:ilvl w:val="0"/>
                <w:numId w:val="7"/>
              </w:numPr>
              <w:spacing w:after="0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Predisposizione conformità ai sensi del CAD – Codice dell’Amministrazione Digitalizzata</w:t>
            </w:r>
          </w:p>
          <w:p w:rsidR="00265747" w:rsidRPr="00B43550" w:rsidRDefault="00130130" w:rsidP="00130130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cs="Times New Roman"/>
                <w:i/>
              </w:rPr>
              <w:t>Inoltro alla firma della stazione appaltante dell’ordine di pagare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5747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SICOGE –</w:t>
            </w:r>
            <w:r w:rsidRPr="00B43550">
              <w:rPr>
                <w:rFonts w:cs="Arial"/>
                <w:caps/>
                <w:color w:val="505050"/>
                <w:shd w:val="clear" w:color="auto" w:fill="FFFFFF"/>
              </w:rPr>
              <w:t xml:space="preserve"> </w:t>
            </w:r>
            <w:r w:rsidRPr="00B43550">
              <w:rPr>
                <w:rFonts w:eastAsia="Palatino Linotype" w:cs="Times New Roman"/>
              </w:rPr>
              <w:t>sistema per la gestione integrata</w:t>
            </w:r>
            <w:r w:rsidRPr="00B43550">
              <w:rPr>
                <w:rFonts w:eastAsia="Palatino Linotype" w:cs="Times New Roman"/>
              </w:rPr>
              <w:br/>
              <w:t>della contabilità economica e finanziaria</w:t>
            </w: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DURC online</w:t>
            </w: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Me.PA</w:t>
            </w: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30130" w:rsidRPr="00B43550" w:rsidRDefault="00130130" w:rsidP="0018290C">
            <w:pPr>
              <w:spacing w:after="0" w:line="240" w:lineRule="auto"/>
              <w:rPr>
                <w:rFonts w:eastAsia="Palatino Linotype" w:cs="Times New Roman"/>
              </w:rPr>
            </w:pPr>
          </w:p>
        </w:tc>
      </w:tr>
      <w:tr w:rsidR="00A31E2E" w:rsidRPr="00B43550" w:rsidTr="0062275E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1E2E" w:rsidRPr="00B43550" w:rsidRDefault="00A31E2E" w:rsidP="00A31E2E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lastRenderedPageBreak/>
              <w:t>Contabilità del materiale – acquisti, provenienze gratuite (prevalentemente automezzi)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Ricezione richiesta di presa in carico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 xml:space="preserve">Registrazione sul sistema GECO dell’acquisto o, in caso di provenienza gratuita, del relativo </w:t>
            </w:r>
            <w:proofErr w:type="spellStart"/>
            <w:r w:rsidRPr="00B43550">
              <w:rPr>
                <w:rFonts w:eastAsia="Palatino Linotype" w:cs="Times New Roman"/>
              </w:rPr>
              <w:t>Mod</w:t>
            </w:r>
            <w:proofErr w:type="spellEnd"/>
            <w:r w:rsidRPr="00B43550">
              <w:rPr>
                <w:rFonts w:eastAsia="Palatino Linotype" w:cs="Times New Roman"/>
              </w:rPr>
              <w:t xml:space="preserve">. 397 o buono di scarico 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Emissione documentazione cartacea circa la presa in carico effettuata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Ricezione richiesta di presa in carico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 xml:space="preserve">Registrazione sul sistema GECO dell’acquisto o, in caso di provenienza gratuita, del relativo </w:t>
            </w:r>
            <w:proofErr w:type="spellStart"/>
            <w:r w:rsidRPr="00B43550">
              <w:rPr>
                <w:rFonts w:eastAsia="Palatino Linotype" w:cs="Times New Roman"/>
                <w:i/>
              </w:rPr>
              <w:t>Mod</w:t>
            </w:r>
            <w:proofErr w:type="spellEnd"/>
            <w:r w:rsidRPr="00B43550">
              <w:rPr>
                <w:rFonts w:eastAsia="Palatino Linotype" w:cs="Times New Roman"/>
                <w:i/>
              </w:rPr>
              <w:t xml:space="preserve">. 397 o buono di scarico </w:t>
            </w:r>
          </w:p>
          <w:p w:rsidR="00A31E2E" w:rsidRPr="00B43550" w:rsidRDefault="00A31E2E" w:rsidP="00A31E2E">
            <w:pPr>
              <w:spacing w:after="0" w:line="240" w:lineRule="auto"/>
              <w:ind w:left="174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Emissione documentazione cartacea circa la presa in carico effettuata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spacing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GECO – Sistema gestione controllo dei beni mobili dell’Amministrazione Statale</w:t>
            </w:r>
          </w:p>
        </w:tc>
      </w:tr>
      <w:tr w:rsidR="00A31E2E" w:rsidRPr="00B43550" w:rsidTr="0062275E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1E2E" w:rsidRPr="00B43550" w:rsidRDefault="00A31E2E" w:rsidP="00A31E2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 xml:space="preserve">Contabilità del materiale – </w:t>
            </w:r>
            <w:r w:rsidRPr="00B43550">
              <w:rPr>
                <w:rFonts w:cs="Times New Roman"/>
                <w:b/>
              </w:rPr>
              <w:t>Facile consumo (carico)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Registrazione sul sistema GECO delle fatture di acquisto del materiale (cancelleria, ferramenta, materiale vario di facile consumo)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Emissione documentazione cartacea circa la presa in carico effettuata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Registrazione sul sistema GECO delle fatture di acquisto del materiale (cancelleria, ferramenta, materiale vario di facile consumo)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Emissione documentazione cartacea circa la presa in carico effettuata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spacing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GECO – Sistema gestione controllo dei beni mobili dell’Amministrazione Statale</w:t>
            </w:r>
          </w:p>
          <w:p w:rsidR="00A31E2E" w:rsidRPr="00B43550" w:rsidRDefault="00A31E2E" w:rsidP="00A31E2E">
            <w:pPr>
              <w:spacing w:line="240" w:lineRule="auto"/>
              <w:rPr>
                <w:rFonts w:eastAsia="Palatino Linotype" w:cs="Times New Roman"/>
              </w:rPr>
            </w:pPr>
          </w:p>
          <w:p w:rsidR="00A31E2E" w:rsidRPr="00B43550" w:rsidRDefault="00A31E2E" w:rsidP="00A31E2E">
            <w:pPr>
              <w:spacing w:line="240" w:lineRule="auto"/>
              <w:rPr>
                <w:rFonts w:eastAsia="Palatino Linotype" w:cs="Times New Roman"/>
              </w:rPr>
            </w:pPr>
          </w:p>
          <w:p w:rsidR="00A31E2E" w:rsidRPr="00B43550" w:rsidRDefault="00A31E2E" w:rsidP="00A31E2E">
            <w:pPr>
              <w:spacing w:line="240" w:lineRule="auto"/>
              <w:rPr>
                <w:rFonts w:cs="Times New Roman"/>
              </w:rPr>
            </w:pPr>
          </w:p>
        </w:tc>
      </w:tr>
      <w:tr w:rsidR="00A31E2E" w:rsidRPr="00B43550" w:rsidTr="00046BAB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</w:p>
          <w:p w:rsidR="00A31E2E" w:rsidRPr="00B43550" w:rsidRDefault="00A31E2E" w:rsidP="00A31E2E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</w:p>
          <w:p w:rsidR="00A31E2E" w:rsidRPr="00B43550" w:rsidRDefault="00A31E2E" w:rsidP="00A31E2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 xml:space="preserve">Contabilità del materiale – </w:t>
            </w:r>
            <w:r w:rsidRPr="00B43550">
              <w:rPr>
                <w:rFonts w:cs="Times New Roman"/>
                <w:b/>
              </w:rPr>
              <w:t xml:space="preserve">Facile consumo </w:t>
            </w:r>
          </w:p>
          <w:p w:rsidR="00A31E2E" w:rsidRPr="00B43550" w:rsidRDefault="00A31E2E" w:rsidP="00A31E2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cs="Times New Roman"/>
                <w:b/>
              </w:rPr>
              <w:t>(scarico)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 xml:space="preserve">Acquisizione bolle di consegna del materiale 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Registrazione sul sistema GECO, tramite emissione di buoni di scarico, del materiale consegnato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Emissione documentazione cartacea circa lo scarico effettuato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 xml:space="preserve">Acquisizione bolle di consegna del materiale 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Registrazione sul sistema GECO, tramite emissione di buoni di scarico, del materiale consegnato</w:t>
            </w:r>
          </w:p>
          <w:p w:rsidR="00A31E2E" w:rsidRPr="00B43550" w:rsidRDefault="00A31E2E" w:rsidP="00A31E2E">
            <w:pPr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Emissione documentazione cartacea circa lo scarico effettuato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1E2E" w:rsidRPr="00B43550" w:rsidRDefault="00A31E2E" w:rsidP="00A31E2E">
            <w:pPr>
              <w:spacing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Credenziali accesso GECO – Sistema gestione controllo dei beni mobili dell’Amministrazione Statale</w:t>
            </w:r>
          </w:p>
          <w:p w:rsidR="00A31E2E" w:rsidRPr="00B43550" w:rsidRDefault="00A31E2E" w:rsidP="00A31E2E">
            <w:pPr>
              <w:spacing w:line="240" w:lineRule="auto"/>
              <w:rPr>
                <w:rFonts w:eastAsia="Palatino Linotype" w:cs="Times New Roman"/>
              </w:rPr>
            </w:pPr>
          </w:p>
          <w:p w:rsidR="00A31E2E" w:rsidRPr="00B43550" w:rsidRDefault="00A31E2E" w:rsidP="00A31E2E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A31E2E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A31E2E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A31E2E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A31E2E">
            <w:pPr>
              <w:spacing w:line="240" w:lineRule="auto"/>
              <w:rPr>
                <w:rFonts w:cs="Times New Roman"/>
              </w:rPr>
            </w:pPr>
          </w:p>
          <w:p w:rsidR="0018290C" w:rsidRPr="00B43550" w:rsidRDefault="0018290C" w:rsidP="00A31E2E">
            <w:pPr>
              <w:spacing w:line="240" w:lineRule="auto"/>
              <w:rPr>
                <w:rFonts w:cs="Times New Roman"/>
              </w:rPr>
            </w:pPr>
          </w:p>
          <w:p w:rsidR="00130130" w:rsidRPr="00B43550" w:rsidRDefault="00130130" w:rsidP="00A31E2E">
            <w:pPr>
              <w:spacing w:line="240" w:lineRule="auto"/>
              <w:rPr>
                <w:rFonts w:cs="Times New Roman"/>
              </w:rPr>
            </w:pPr>
          </w:p>
          <w:p w:rsidR="00130130" w:rsidRPr="00B43550" w:rsidRDefault="00130130" w:rsidP="00A31E2E">
            <w:pPr>
              <w:spacing w:line="240" w:lineRule="auto"/>
              <w:rPr>
                <w:rFonts w:cs="Times New Roman"/>
              </w:rPr>
            </w:pPr>
          </w:p>
        </w:tc>
      </w:tr>
      <w:tr w:rsidR="0018290C" w:rsidRPr="00B43550" w:rsidTr="00046BAB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18290C" w:rsidRPr="00B43550" w:rsidRDefault="0018290C" w:rsidP="0018290C">
            <w:pPr>
              <w:spacing w:after="0" w:line="240" w:lineRule="auto"/>
              <w:rPr>
                <w:rFonts w:eastAsia="Palatino Linotype" w:cs="Times New Roman"/>
                <w:b/>
              </w:rPr>
            </w:pPr>
          </w:p>
          <w:p w:rsidR="0018290C" w:rsidRPr="00B43550" w:rsidRDefault="0018290C" w:rsidP="0018290C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>Ricezione corrispondenza - mail ordinaria – PEC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Controllo preventivo veridicità atto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</w:rPr>
              <w:t>Stampa mail ed eventuali allegati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B43550">
              <w:rPr>
                <w:rStyle w:val="Nessuno"/>
                <w:rFonts w:eastAsia="Palatino Linotype" w:cs="Times New Roman"/>
              </w:rPr>
              <w:t>Consegna al Direttore o in caso di impossibilità al Responsabile della Sicurezza / Facente Funzioni per l’assegnazione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B43550">
              <w:rPr>
                <w:rStyle w:val="Nessuno"/>
                <w:rFonts w:eastAsia="Palatino Linotype" w:cs="Times New Roman"/>
              </w:rPr>
              <w:t>Assunzione al protocollo informatico CALLIOPE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Style w:val="Nessuno"/>
                <w:rFonts w:eastAsia="Palatino Linotype" w:cs="Times New Roman"/>
              </w:rPr>
              <w:t>Trasmissione telematica per competenza all’operatore incaricato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Controllo preventivo veridicità atto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 xml:space="preserve">Inoltro </w:t>
            </w:r>
            <w:r w:rsidRPr="00B43550">
              <w:rPr>
                <w:rStyle w:val="Nessuno"/>
                <w:rFonts w:eastAsia="Palatino Linotype" w:cs="Times New Roman"/>
                <w:i/>
              </w:rPr>
              <w:t>al Direttore o in caso di impossibilità al Responsabile della Sicurezza / Facente Funzioni per indicazioni circa l’assegnazione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Fonts w:eastAsia="Palatino Linotype" w:cs="Times New Roman"/>
                <w:i/>
              </w:rPr>
              <w:t>Ricezione disposizioni d</w:t>
            </w:r>
            <w:r w:rsidRPr="00B43550">
              <w:rPr>
                <w:rStyle w:val="Nessuno"/>
                <w:rFonts w:eastAsia="Palatino Linotype" w:cs="Times New Roman"/>
                <w:i/>
              </w:rPr>
              <w:t>al Direttore o altra figura preposta circa lo smistamento e le indicazioni da fornire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  <w:i/>
              </w:rPr>
            </w:pPr>
            <w:r w:rsidRPr="00B43550">
              <w:rPr>
                <w:rStyle w:val="Nessuno"/>
                <w:rFonts w:eastAsia="Palatino Linotype" w:cs="Times New Roman"/>
                <w:i/>
              </w:rPr>
              <w:t>Assunzione al protocollo informatico CALLIOPE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B43550">
              <w:rPr>
                <w:rStyle w:val="Nessuno"/>
                <w:rFonts w:eastAsia="Palatino Linotype" w:cs="Times New Roman"/>
                <w:i/>
              </w:rPr>
              <w:t>Trasmissione telematica per competenza all’operatore incaricato</w:t>
            </w:r>
          </w:p>
          <w:p w:rsidR="0018290C" w:rsidRPr="00B43550" w:rsidRDefault="0018290C" w:rsidP="0018290C">
            <w:pPr>
              <w:spacing w:after="0" w:line="240" w:lineRule="auto"/>
              <w:rPr>
                <w:rFonts w:cs="Times New Roman"/>
                <w:i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Credenziali accesso mail ordinaria – PEC – Piattaforma CALLIOPE</w:t>
            </w:r>
          </w:p>
        </w:tc>
      </w:tr>
      <w:tr w:rsidR="0018290C" w:rsidRPr="00B43550" w:rsidTr="00852F80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290C" w:rsidRPr="00B43550" w:rsidRDefault="0018290C" w:rsidP="0018290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eastAsia="Palatino Linotype" w:cs="Times New Roman"/>
                <w:b/>
              </w:rPr>
              <w:t>Inoltro corrispondenza - mail ordinaria – PEC - CALLIOPE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Ricezione atto debitamente firmato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</w:rPr>
            </w:pPr>
            <w:r w:rsidRPr="00B43550">
              <w:rPr>
                <w:rStyle w:val="Nessuno"/>
                <w:rFonts w:eastAsia="Palatino Linotype" w:cs="Times New Roman"/>
              </w:rPr>
              <w:t>Assunzione al protocollo informatico CALLIOPE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Inoltro atto a mezzo mail ordinaria / PEC o interoperabilità CALLIOPE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Ricezione atto debitamente firmato</w:t>
            </w:r>
          </w:p>
          <w:p w:rsidR="0018290C" w:rsidRPr="00B43550" w:rsidRDefault="0018290C" w:rsidP="0018290C">
            <w:pPr>
              <w:numPr>
                <w:ilvl w:val="0"/>
                <w:numId w:val="6"/>
              </w:numPr>
              <w:spacing w:after="0" w:line="240" w:lineRule="auto"/>
              <w:rPr>
                <w:rStyle w:val="Nessuno"/>
                <w:rFonts w:eastAsia="Palatino Linotype" w:cs="Times New Roman"/>
                <w:i/>
              </w:rPr>
            </w:pPr>
            <w:r w:rsidRPr="00B43550">
              <w:rPr>
                <w:rStyle w:val="Nessuno"/>
                <w:rFonts w:eastAsia="Palatino Linotype" w:cs="Times New Roman"/>
                <w:i/>
              </w:rPr>
              <w:t>Assunzione al protocollo informatico CALLIOPE</w:t>
            </w:r>
          </w:p>
          <w:p w:rsidR="0018290C" w:rsidRPr="00B43550" w:rsidRDefault="0018290C" w:rsidP="0018290C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43550">
              <w:rPr>
                <w:rFonts w:eastAsia="Palatino Linotype" w:cs="Times New Roman"/>
                <w:i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Inoltro atto a mezzo mail ordinaria / PEC o interoperabilità CALLIOPE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Credenziali accesso mail ordinaria – PEC – Piattaforma CALLIOPE</w:t>
            </w:r>
          </w:p>
        </w:tc>
      </w:tr>
      <w:tr w:rsidR="0018290C" w:rsidRPr="00B43550" w:rsidTr="00852F80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290C" w:rsidRPr="00B43550" w:rsidRDefault="0018290C" w:rsidP="0018290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B43550">
              <w:rPr>
                <w:rFonts w:cs="Times New Roman"/>
                <w:b/>
              </w:rPr>
              <w:t>Ricezione corrispondenza piattaforma CALLIOPE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>Smistamento per assegnazione</w:t>
            </w:r>
          </w:p>
          <w:p w:rsidR="0018290C" w:rsidRPr="00B43550" w:rsidRDefault="0018290C" w:rsidP="0018290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</w:rPr>
            </w:pPr>
            <w:r w:rsidRPr="00B43550">
              <w:rPr>
                <w:rFonts w:cs="Times New Roman"/>
              </w:rPr>
              <w:t>In casi particolari stampa per assegnazione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Smistamento per assegnazione</w:t>
            </w:r>
          </w:p>
          <w:p w:rsidR="0018290C" w:rsidRPr="00B43550" w:rsidRDefault="0018290C" w:rsidP="0018290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07" w:hanging="153"/>
              <w:rPr>
                <w:rFonts w:cs="Times New Roman"/>
                <w:i/>
              </w:rPr>
            </w:pPr>
            <w:r w:rsidRPr="00B43550">
              <w:rPr>
                <w:rFonts w:cs="Times New Roman"/>
                <w:i/>
              </w:rPr>
              <w:t>Inoltro a mezzo mail per richiesta indicazioni sull’assegnazione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90C" w:rsidRPr="00B43550" w:rsidRDefault="0018290C" w:rsidP="0018290C">
            <w:pPr>
              <w:spacing w:after="0" w:line="240" w:lineRule="auto"/>
              <w:rPr>
                <w:rFonts w:cs="Times New Roman"/>
              </w:rPr>
            </w:pPr>
            <w:r w:rsidRPr="00B43550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Credenziali accesso mail ordinaria – PEC – Piattaforma CALLIOPE</w:t>
            </w:r>
          </w:p>
        </w:tc>
      </w:tr>
    </w:tbl>
    <w:p w:rsidR="00384694" w:rsidRPr="00B43550" w:rsidRDefault="00C70179" w:rsidP="000F0E62">
      <w:pPr>
        <w:spacing w:after="0" w:line="480" w:lineRule="auto"/>
        <w:rPr>
          <w:rFonts w:eastAsia="Palatino Linotype" w:cs="Times New Roman"/>
        </w:rPr>
      </w:pPr>
      <w:r w:rsidRPr="00B43550">
        <w:rPr>
          <w:rStyle w:val="Nessuno"/>
          <w:rFonts w:eastAsia="Palatino Linotype" w:cs="Times New Roman"/>
        </w:rPr>
        <w:br w:type="textWrapping" w:clear="all"/>
      </w:r>
    </w:p>
    <w:sectPr w:rsidR="00384694" w:rsidRPr="00B43550" w:rsidSect="00130130">
      <w:headerReference w:type="default" r:id="rId8"/>
      <w:footerReference w:type="default" r:id="rId9"/>
      <w:pgSz w:w="16840" w:h="11900" w:orient="landscape"/>
      <w:pgMar w:top="672" w:right="1417" w:bottom="709" w:left="1134" w:header="284" w:footer="1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73" w:rsidRDefault="00033673">
      <w:pPr>
        <w:spacing w:after="0" w:line="240" w:lineRule="auto"/>
      </w:pPr>
      <w:r>
        <w:separator/>
      </w:r>
    </w:p>
  </w:endnote>
  <w:endnote w:type="continuationSeparator" w:id="0">
    <w:p w:rsidR="00033673" w:rsidRDefault="0003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588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73FF2" w:rsidRPr="008354EE" w:rsidRDefault="00673FF2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97CEF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73FF2" w:rsidRDefault="00673F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73" w:rsidRDefault="00033673">
      <w:pPr>
        <w:spacing w:after="0" w:line="240" w:lineRule="auto"/>
      </w:pPr>
      <w:r>
        <w:separator/>
      </w:r>
    </w:p>
  </w:footnote>
  <w:footnote w:type="continuationSeparator" w:id="0">
    <w:p w:rsidR="00033673" w:rsidRDefault="00033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CEF" w:rsidRDefault="00697CEF" w:rsidP="00623D77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8"/>
        <w:szCs w:val="28"/>
      </w:rPr>
    </w:pPr>
    <w:r w:rsidRPr="00697CEF">
      <w:rPr>
        <w:rStyle w:val="Nessuno"/>
        <w:rFonts w:eastAsia="Palatino Linotype" w:cs="Times New Roman"/>
        <w:b/>
        <w:bCs/>
        <w:sz w:val="28"/>
        <w:szCs w:val="28"/>
      </w:rPr>
      <w:t>DIREZIONE GENERALE DEL PERSONALE E DELLE RISORSE</w:t>
    </w:r>
  </w:p>
  <w:p w:rsidR="00673FF2" w:rsidRPr="00697CEF" w:rsidRDefault="00B43550" w:rsidP="00623D77">
    <w:pPr>
      <w:spacing w:after="0" w:line="240" w:lineRule="auto"/>
      <w:jc w:val="center"/>
      <w:rPr>
        <w:rStyle w:val="Nessuno"/>
        <w:rFonts w:eastAsia="Palatino Linotype" w:cs="Times New Roman"/>
        <w:b/>
        <w:bCs/>
        <w:sz w:val="24"/>
        <w:szCs w:val="24"/>
        <w:u w:val="single"/>
      </w:rPr>
    </w:pPr>
    <w:r w:rsidRPr="00697CEF">
      <w:rPr>
        <w:rStyle w:val="Nessuno"/>
        <w:rFonts w:eastAsia="Palatino Linotype" w:cs="Times New Roman"/>
        <w:b/>
        <w:bCs/>
        <w:sz w:val="24"/>
        <w:szCs w:val="24"/>
        <w:u w:val="single"/>
      </w:rPr>
      <w:t>DIRIGENTE RESPONSABILE DELLE ACQUISIZIONI DI BENI E SERVIZI</w:t>
    </w:r>
  </w:p>
  <w:p w:rsidR="00623D77" w:rsidRPr="00623D77" w:rsidRDefault="00623D77" w:rsidP="00623D77">
    <w:pPr>
      <w:spacing w:after="0" w:line="240" w:lineRule="auto"/>
      <w:jc w:val="center"/>
      <w:rPr>
        <w:rFonts w:ascii="Times New Roman" w:eastAsia="Palatino Linotype" w:hAnsi="Times New Roman" w:cs="Times New Roman"/>
        <w:b/>
        <w:bCs/>
        <w:i/>
        <w:cap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EE533F"/>
    <w:multiLevelType w:val="hybridMultilevel"/>
    <w:tmpl w:val="B26EC13E"/>
    <w:lvl w:ilvl="0" w:tplc="EED4FAE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2946180"/>
    <w:multiLevelType w:val="hybridMultilevel"/>
    <w:tmpl w:val="6B6452AA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70412"/>
    <w:multiLevelType w:val="hybridMultilevel"/>
    <w:tmpl w:val="5ACA8C2E"/>
    <w:numStyleLink w:val="Stileimportato2"/>
  </w:abstractNum>
  <w:abstractNum w:abstractNumId="6">
    <w:nsid w:val="511C6BE5"/>
    <w:multiLevelType w:val="hybridMultilevel"/>
    <w:tmpl w:val="68EEFEE6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BAE08D4"/>
    <w:multiLevelType w:val="hybridMultilevel"/>
    <w:tmpl w:val="FB2EAC48"/>
    <w:numStyleLink w:val="Stileimportato1"/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5"/>
    <w:lvlOverride w:ilvl="0">
      <w:lvl w:ilvl="0" w:tplc="CD8C3440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DE2ED50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B4F225D8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4E4E7046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8E222B74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86E20D10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8F08879A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BAEC60B2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E41EF94A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94"/>
    <w:rsid w:val="000053C5"/>
    <w:rsid w:val="00033673"/>
    <w:rsid w:val="00043700"/>
    <w:rsid w:val="000E566F"/>
    <w:rsid w:val="000F0E62"/>
    <w:rsid w:val="00130130"/>
    <w:rsid w:val="0018290C"/>
    <w:rsid w:val="002545DE"/>
    <w:rsid w:val="00265747"/>
    <w:rsid w:val="002A57C0"/>
    <w:rsid w:val="002C66AC"/>
    <w:rsid w:val="003066C2"/>
    <w:rsid w:val="00306A04"/>
    <w:rsid w:val="00384694"/>
    <w:rsid w:val="003946BD"/>
    <w:rsid w:val="003F65D5"/>
    <w:rsid w:val="0040490F"/>
    <w:rsid w:val="004112FF"/>
    <w:rsid w:val="00423F89"/>
    <w:rsid w:val="004D4630"/>
    <w:rsid w:val="00555F00"/>
    <w:rsid w:val="00602B61"/>
    <w:rsid w:val="0062275E"/>
    <w:rsid w:val="00623D77"/>
    <w:rsid w:val="00673FF2"/>
    <w:rsid w:val="00697CEF"/>
    <w:rsid w:val="006A0BCC"/>
    <w:rsid w:val="00725176"/>
    <w:rsid w:val="007C4F4F"/>
    <w:rsid w:val="008354EE"/>
    <w:rsid w:val="008427C6"/>
    <w:rsid w:val="00864236"/>
    <w:rsid w:val="00A31E2E"/>
    <w:rsid w:val="00B43550"/>
    <w:rsid w:val="00BA4F4A"/>
    <w:rsid w:val="00C70179"/>
    <w:rsid w:val="00CA584F"/>
    <w:rsid w:val="00D14FFF"/>
    <w:rsid w:val="00E25137"/>
    <w:rsid w:val="00E57723"/>
    <w:rsid w:val="00EC1365"/>
    <w:rsid w:val="00F0156D"/>
    <w:rsid w:val="00F8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A57C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A57C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Win7Pc</cp:lastModifiedBy>
  <cp:revision>5</cp:revision>
  <cp:lastPrinted>2020-12-09T08:19:00Z</cp:lastPrinted>
  <dcterms:created xsi:type="dcterms:W3CDTF">2021-01-04T11:39:00Z</dcterms:created>
  <dcterms:modified xsi:type="dcterms:W3CDTF">2021-01-07T09:26:00Z</dcterms:modified>
</cp:coreProperties>
</file>