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9C5" w:rsidRDefault="006813BE" w:rsidP="006813BE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6813BE">
        <w:rPr>
          <w:b/>
          <w:sz w:val="24"/>
          <w:szCs w:val="24"/>
        </w:rPr>
        <w:t>PROVVEDITORATO REGIONALE LAZIO ABRUZZO E MOLISE</w:t>
      </w:r>
    </w:p>
    <w:p w:rsidR="006813BE" w:rsidRDefault="006813BE" w:rsidP="006813B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UFFICIO III – Risorse Materiali e Contabilità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6813BE" w:rsidTr="006813BE"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8C7D16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ATTIVITA’ IN MODALITA’ DI LAVORO AGILE</w:t>
            </w:r>
          </w:p>
        </w:tc>
        <w:tc>
          <w:tcPr>
            <w:tcW w:w="3487" w:type="dxa"/>
          </w:tcPr>
          <w:p w:rsidR="006813BE" w:rsidRDefault="006813BE" w:rsidP="006813BE">
            <w:pPr>
              <w:pStyle w:val="Intestazione"/>
              <w:jc w:val="center"/>
              <w:rPr>
                <w:b/>
              </w:rPr>
            </w:pPr>
            <w:r>
              <w:rPr>
                <w:b/>
              </w:rPr>
              <w:t xml:space="preserve">STRUMENTI PER ATTIVITA’ </w:t>
            </w:r>
          </w:p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IN MODALITA’ DILAVORO AGILE</w:t>
            </w:r>
          </w:p>
        </w:tc>
      </w:tr>
      <w:tr w:rsidR="006813BE" w:rsidTr="006813BE">
        <w:tc>
          <w:tcPr>
            <w:tcW w:w="3487" w:type="dxa"/>
          </w:tcPr>
          <w:p w:rsidR="006813BE" w:rsidRPr="006813BE" w:rsidRDefault="006813BE" w:rsidP="006813BE">
            <w:pPr>
              <w:jc w:val="center"/>
              <w:rPr>
                <w:b/>
              </w:rPr>
            </w:pPr>
            <w:r w:rsidRPr="006813BE">
              <w:rPr>
                <w:b/>
              </w:rPr>
              <w:t xml:space="preserve">Gestione </w:t>
            </w:r>
            <w:r w:rsidR="006E702A">
              <w:rPr>
                <w:b/>
              </w:rPr>
              <w:t>Capitoli Di Bilancio</w:t>
            </w:r>
            <w:r w:rsidR="00F73383">
              <w:rPr>
                <w:b/>
              </w:rPr>
              <w:t xml:space="preserve"> </w:t>
            </w:r>
          </w:p>
        </w:tc>
        <w:tc>
          <w:tcPr>
            <w:tcW w:w="3487" w:type="dxa"/>
          </w:tcPr>
          <w:p w:rsidR="006E702A" w:rsidRDefault="006E702A" w:rsidP="006E702A">
            <w:r w:rsidRPr="00B41C5F">
              <w:rPr>
                <w:rFonts w:ascii="Calibri" w:eastAsia="Times New Roman" w:hAnsi="Calibri" w:cs="Calibri"/>
                <w:color w:val="000000"/>
                <w:lang w:eastAsia="it-IT"/>
              </w:rPr>
              <w:t>Predisposizione degli atti necessari alla richiest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 di fondi al DAP</w:t>
            </w:r>
          </w:p>
          <w:p w:rsidR="006E702A" w:rsidRPr="00B41C5F" w:rsidRDefault="006E702A" w:rsidP="006E702A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41C5F">
              <w:rPr>
                <w:rFonts w:ascii="Calibri" w:eastAsia="Times New Roman" w:hAnsi="Calibri" w:cs="Calibri"/>
                <w:color w:val="000000"/>
                <w:lang w:eastAsia="it-IT"/>
              </w:rPr>
              <w:t>Ricognizione periodica della situazione dei capitoli di spesa e predisposizione delle richieste di integrazione fondi</w:t>
            </w:r>
          </w:p>
          <w:p w:rsidR="006E702A" w:rsidRPr="00B41C5F" w:rsidRDefault="006E702A" w:rsidP="006E702A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41C5F">
              <w:rPr>
                <w:rFonts w:ascii="Calibri" w:eastAsia="Times New Roman" w:hAnsi="Calibri" w:cs="Calibri"/>
                <w:color w:val="000000"/>
                <w:lang w:eastAsia="it-IT"/>
              </w:rPr>
              <w:t>Predisposizione delle riduzioni degli ordini di accreditamento, ed emissione dei relativi Decreti</w:t>
            </w:r>
          </w:p>
          <w:p w:rsidR="006E702A" w:rsidRPr="00B41C5F" w:rsidRDefault="006E702A" w:rsidP="006E702A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41C5F">
              <w:rPr>
                <w:rFonts w:ascii="Calibri" w:eastAsia="Times New Roman" w:hAnsi="Calibri" w:cs="Calibri"/>
                <w:color w:val="000000"/>
                <w:lang w:eastAsia="it-IT"/>
              </w:rPr>
              <w:t>Compilazione delle schede relative al piano di ripartizione delle risorse</w:t>
            </w:r>
          </w:p>
          <w:p w:rsidR="006E702A" w:rsidRPr="00B41C5F" w:rsidRDefault="006E702A" w:rsidP="006E702A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41C5F">
              <w:rPr>
                <w:rFonts w:ascii="Calibri" w:eastAsia="Times New Roman" w:hAnsi="Calibri" w:cs="Calibri"/>
                <w:color w:val="000000"/>
                <w:lang w:eastAsia="it-IT"/>
              </w:rPr>
              <w:t>Verifica delle richieste di autorizzazione ai lavori inviate dalle Direzioni, secondo la normativa vigente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B41C5F">
              <w:rPr>
                <w:rFonts w:ascii="Calibri" w:eastAsia="Times New Roman" w:hAnsi="Calibri" w:cs="Calibri"/>
                <w:color w:val="000000"/>
                <w:lang w:eastAsia="it-IT"/>
              </w:rPr>
              <w:t>Raccolta della documentazione e predisposizione degli atti autorizzativi dei lavori</w:t>
            </w:r>
          </w:p>
          <w:p w:rsidR="006E702A" w:rsidRPr="00B41C5F" w:rsidRDefault="006E702A" w:rsidP="006E702A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41C5F">
              <w:rPr>
                <w:rFonts w:ascii="Calibri" w:eastAsia="Times New Roman" w:hAnsi="Calibri" w:cs="Calibri"/>
                <w:color w:val="000000"/>
                <w:lang w:eastAsia="it-IT"/>
              </w:rPr>
              <w:t>Emissione dei decreti di impegno per spesa delegata e ripartizione nell’ambito della rete dei funzionari delegati Predisposizione degli atti necessari alla assegnazione dei fondi</w:t>
            </w:r>
          </w:p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13BE" w:rsidTr="006813BE">
        <w:tc>
          <w:tcPr>
            <w:tcW w:w="3487" w:type="dxa"/>
          </w:tcPr>
          <w:p w:rsidR="006E702A" w:rsidRPr="006E702A" w:rsidRDefault="006E702A" w:rsidP="006E702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6E702A">
              <w:rPr>
                <w:rFonts w:ascii="Calibri" w:hAnsi="Calibri" w:cs="Calibri"/>
                <w:b/>
                <w:color w:val="000000"/>
              </w:rPr>
              <w:t>Chiusura esercizio</w:t>
            </w:r>
          </w:p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6E702A" w:rsidRDefault="006E702A" w:rsidP="006E70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Accertamento delle economie che generano i residui di spesa delegata, verifica dei programmi di spesa </w:t>
            </w:r>
            <w:r>
              <w:rPr>
                <w:rFonts w:ascii="Calibri" w:hAnsi="Calibri" w:cs="Calibri"/>
                <w:color w:val="000000"/>
              </w:rPr>
              <w:lastRenderedPageBreak/>
              <w:t>residui ed emissione dei relativi ordini di accreditamento in conto residui</w:t>
            </w:r>
          </w:p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6552A3" w:rsidRDefault="006552A3" w:rsidP="006552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Accertamento delle economie che generano i residui di spesa delegata, verifica dei programmi di spesa </w:t>
            </w:r>
            <w:r>
              <w:rPr>
                <w:rFonts w:ascii="Calibri" w:hAnsi="Calibri" w:cs="Calibri"/>
                <w:color w:val="000000"/>
              </w:rPr>
              <w:lastRenderedPageBreak/>
              <w:t>residui ed emissione dei relativi ordini di accreditamento in conto residui</w:t>
            </w:r>
          </w:p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FE2DD9" w:rsidRPr="00FE2DD9" w:rsidRDefault="00FE2DD9" w:rsidP="00FE2DD9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FE2DD9">
              <w:rPr>
                <w:rFonts w:ascii="Calibri" w:eastAsia="Calibri" w:hAnsi="Calibri" w:cs="Times New Roman"/>
              </w:rPr>
              <w:lastRenderedPageBreak/>
              <w:t xml:space="preserve">Piattaforma TEAMS </w:t>
            </w:r>
          </w:p>
          <w:p w:rsidR="006813BE" w:rsidRDefault="00FE2DD9" w:rsidP="00FE2DD9">
            <w:pPr>
              <w:jc w:val="center"/>
              <w:rPr>
                <w:b/>
                <w:sz w:val="24"/>
                <w:szCs w:val="24"/>
              </w:rPr>
            </w:pPr>
            <w:r w:rsidRPr="00FE2DD9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6813BE" w:rsidTr="006813BE">
        <w:tc>
          <w:tcPr>
            <w:tcW w:w="3487" w:type="dxa"/>
          </w:tcPr>
          <w:p w:rsidR="006E702A" w:rsidRPr="006E702A" w:rsidRDefault="006E702A" w:rsidP="006E702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6E702A">
              <w:rPr>
                <w:rFonts w:ascii="Calibri" w:hAnsi="Calibri" w:cs="Calibri"/>
                <w:b/>
                <w:color w:val="000000"/>
              </w:rPr>
              <w:lastRenderedPageBreak/>
              <w:t>Accertamento dei residui            "D.A.R."</w:t>
            </w:r>
          </w:p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6E702A" w:rsidRDefault="006E702A" w:rsidP="006E70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Coordinamento delle attività inerenti la predisposizione dei Decreti di Accertamento delle somme Residue al 31 dicembre. Presentazione D.A.R. alla Ragioneria Territoriale dello Stato ed alla Corte dei Conti</w:t>
            </w:r>
          </w:p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13BE" w:rsidTr="006813BE">
        <w:tc>
          <w:tcPr>
            <w:tcW w:w="3487" w:type="dxa"/>
          </w:tcPr>
          <w:p w:rsidR="006813BE" w:rsidRDefault="006E702A" w:rsidP="00F54AA1">
            <w:pPr>
              <w:jc w:val="center"/>
              <w:rPr>
                <w:b/>
                <w:sz w:val="24"/>
                <w:szCs w:val="24"/>
              </w:rPr>
            </w:pPr>
            <w:r w:rsidRPr="006E702A">
              <w:rPr>
                <w:b/>
                <w:sz w:val="24"/>
                <w:szCs w:val="24"/>
              </w:rPr>
              <w:t>Gestione compe</w:t>
            </w:r>
            <w:r w:rsidR="00F54AA1">
              <w:rPr>
                <w:b/>
                <w:sz w:val="24"/>
                <w:szCs w:val="24"/>
              </w:rPr>
              <w:t>tenze accessorie "cedolino unico</w:t>
            </w:r>
            <w:r w:rsidRPr="006E702A">
              <w:rPr>
                <w:b/>
                <w:sz w:val="24"/>
                <w:szCs w:val="24"/>
              </w:rPr>
              <w:t xml:space="preserve">" </w:t>
            </w:r>
          </w:p>
        </w:tc>
        <w:tc>
          <w:tcPr>
            <w:tcW w:w="3487" w:type="dxa"/>
          </w:tcPr>
          <w:p w:rsidR="006E702A" w:rsidRDefault="006E702A" w:rsidP="006E70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Verifica dei fondi assegnati</w:t>
            </w:r>
          </w:p>
          <w:p w:rsidR="006E702A" w:rsidRDefault="006E702A" w:rsidP="006E70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Liquidazione e inserimento lavoro straordinario Dirigenti e Comparto Funzioni Centrali, Inserimento altre spettanze al personale C.F.C. (F.U.A.), inserimento competenze accessorie Fuori Sistema e Buoni Pasto</w:t>
            </w:r>
          </w:p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13BE" w:rsidTr="006813BE">
        <w:tc>
          <w:tcPr>
            <w:tcW w:w="3487" w:type="dxa"/>
          </w:tcPr>
          <w:p w:rsidR="006E702A" w:rsidRPr="006E702A" w:rsidRDefault="006E702A" w:rsidP="006E702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6E702A">
              <w:rPr>
                <w:rFonts w:ascii="Calibri" w:hAnsi="Calibri" w:cs="Calibri"/>
                <w:b/>
                <w:color w:val="000000"/>
              </w:rPr>
              <w:t>Contratti</w:t>
            </w:r>
          </w:p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D53059" w:rsidRPr="00B41C5F" w:rsidRDefault="00D53059" w:rsidP="00D53059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41C5F">
              <w:rPr>
                <w:rFonts w:ascii="Calibri" w:eastAsia="Times New Roman" w:hAnsi="Calibri" w:cs="Calibri"/>
                <w:color w:val="000000"/>
                <w:lang w:eastAsia="it-IT"/>
              </w:rPr>
              <w:t>procedure concorsuali, contrattuali o rinnovo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, </w:t>
            </w:r>
            <w:r w:rsidRPr="00B41C5F">
              <w:rPr>
                <w:rFonts w:ascii="Calibri" w:eastAsia="Times New Roman" w:hAnsi="Calibri" w:cs="Calibri"/>
                <w:color w:val="000000"/>
                <w:lang w:eastAsia="it-IT"/>
              </w:rPr>
              <w:t>Determina a Contrarre - Pubblicazione Bando di Gara  - Valutazione Documentazione amministrativa,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B41C5F">
              <w:rPr>
                <w:rFonts w:ascii="Calibri" w:eastAsia="Times New Roman" w:hAnsi="Calibri" w:cs="Calibri"/>
                <w:color w:val="000000"/>
                <w:lang w:eastAsia="it-IT"/>
              </w:rPr>
              <w:t>Valutazione offerte economiche - Aggiudicazion</w:t>
            </w:r>
            <w:r w:rsidR="00B14558">
              <w:rPr>
                <w:rFonts w:ascii="Calibri" w:eastAsia="Times New Roman" w:hAnsi="Calibri" w:cs="Calibri"/>
                <w:color w:val="000000"/>
                <w:lang w:eastAsia="it-IT"/>
              </w:rPr>
              <w:t>e</w:t>
            </w:r>
            <w:r w:rsidRPr="00B41C5F">
              <w:rPr>
                <w:rFonts w:ascii="Calibri" w:eastAsia="Times New Roman" w:hAnsi="Calibri" w:cs="Calibri"/>
                <w:color w:val="000000"/>
                <w:lang w:eastAsia="it-IT"/>
              </w:rPr>
              <w:t>,</w:t>
            </w:r>
          </w:p>
          <w:p w:rsidR="00D53059" w:rsidRPr="00B41C5F" w:rsidRDefault="00D53059" w:rsidP="00D53059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41C5F">
              <w:rPr>
                <w:rFonts w:ascii="Calibri" w:eastAsia="Times New Roman" w:hAnsi="Calibri" w:cs="Calibri"/>
                <w:color w:val="000000"/>
                <w:lang w:eastAsia="it-IT"/>
              </w:rPr>
              <w:t>Adempimenti firma contratto</w:t>
            </w:r>
          </w:p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13BE" w:rsidTr="006813BE">
        <w:tc>
          <w:tcPr>
            <w:tcW w:w="3487" w:type="dxa"/>
          </w:tcPr>
          <w:p w:rsidR="006813BE" w:rsidRPr="00D53059" w:rsidRDefault="006813BE" w:rsidP="006813BE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3059" w:rsidTr="006813BE">
        <w:tc>
          <w:tcPr>
            <w:tcW w:w="3487" w:type="dxa"/>
          </w:tcPr>
          <w:p w:rsidR="00D53059" w:rsidRDefault="00D53059" w:rsidP="00D5305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Ufficiale Rogante</w:t>
            </w:r>
          </w:p>
          <w:p w:rsidR="00D53059" w:rsidRDefault="00D53059" w:rsidP="00D53059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:rsidR="00D53059" w:rsidRPr="002D0EAC" w:rsidRDefault="002D0EAC" w:rsidP="00D53059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attività di ufficiale rogante per il Prap e per tutti gli I</w:t>
            </w:r>
            <w:r w:rsidRPr="002D0EAC">
              <w:rPr>
                <w:rFonts w:ascii="Calibri" w:hAnsi="Calibri" w:cs="Calibri"/>
                <w:bCs/>
                <w:color w:val="000000"/>
              </w:rPr>
              <w:t xml:space="preserve">stituti del </w:t>
            </w:r>
            <w:r w:rsidRPr="002D0EAC">
              <w:rPr>
                <w:rFonts w:ascii="Calibri" w:hAnsi="Calibri" w:cs="Calibri"/>
                <w:bCs/>
                <w:color w:val="000000"/>
              </w:rPr>
              <w:lastRenderedPageBreak/>
              <w:t>distretto per la stipula dei contratti</w:t>
            </w:r>
          </w:p>
          <w:p w:rsidR="00D53059" w:rsidRPr="00D53059" w:rsidRDefault="00D53059" w:rsidP="00D53059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</w:p>
        </w:tc>
        <w:tc>
          <w:tcPr>
            <w:tcW w:w="3487" w:type="dxa"/>
          </w:tcPr>
          <w:p w:rsidR="00D53059" w:rsidRDefault="00D53059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D53059" w:rsidRDefault="00D53059" w:rsidP="006813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D0EAC" w:rsidTr="006813BE">
        <w:tc>
          <w:tcPr>
            <w:tcW w:w="3487" w:type="dxa"/>
          </w:tcPr>
          <w:p w:rsidR="002D0EAC" w:rsidRPr="002D0EAC" w:rsidRDefault="00B14558" w:rsidP="00B1455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Forniture beni e servizi</w:t>
            </w:r>
          </w:p>
        </w:tc>
        <w:tc>
          <w:tcPr>
            <w:tcW w:w="3487" w:type="dxa"/>
          </w:tcPr>
          <w:p w:rsidR="002D0EAC" w:rsidRDefault="002D0EAC" w:rsidP="002D0EA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Ricerca di mercato per reperimento ditte, spedizione lettere di invito, raccolta ed esame delle offerte, aggiudicazione gara.</w:t>
            </w:r>
          </w:p>
          <w:p w:rsidR="002D0EAC" w:rsidRPr="002D0EAC" w:rsidRDefault="002D0EAC" w:rsidP="002D0EAC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</w:p>
        </w:tc>
        <w:tc>
          <w:tcPr>
            <w:tcW w:w="3487" w:type="dxa"/>
          </w:tcPr>
          <w:p w:rsidR="006552A3" w:rsidRDefault="006552A3" w:rsidP="006552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Ricerca di mercato per reperimento ditte, spedizione lettere di invito, raccolta ed esame delle offerte, aggiudicazione gara.</w:t>
            </w:r>
          </w:p>
          <w:p w:rsidR="002D0EAC" w:rsidRDefault="002D0EAC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FE2DD9" w:rsidRPr="00FE2DD9" w:rsidRDefault="00FE2DD9" w:rsidP="00FE2DD9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FE2DD9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D0EAC" w:rsidRDefault="00FE2DD9" w:rsidP="00FE2DD9">
            <w:pPr>
              <w:jc w:val="center"/>
              <w:rPr>
                <w:b/>
                <w:sz w:val="24"/>
                <w:szCs w:val="24"/>
              </w:rPr>
            </w:pPr>
            <w:r w:rsidRPr="00FE2DD9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D0EAC" w:rsidTr="006813BE">
        <w:tc>
          <w:tcPr>
            <w:tcW w:w="3487" w:type="dxa"/>
          </w:tcPr>
          <w:p w:rsidR="002D0EAC" w:rsidRDefault="002D0EAC" w:rsidP="002D0EA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Gestione Casermaggio</w:t>
            </w:r>
          </w:p>
          <w:p w:rsidR="002D0EAC" w:rsidRPr="002D0EAC" w:rsidRDefault="002D0EAC" w:rsidP="00D53059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:rsidR="002D0EAC" w:rsidRDefault="002D0EAC" w:rsidP="002D0EA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Trasmissione al Dap dei modelli contenenti le richieste di casermaggio agenti e detenuti </w:t>
            </w:r>
          </w:p>
          <w:p w:rsidR="002D0EAC" w:rsidRPr="002D0EAC" w:rsidRDefault="002D0EAC" w:rsidP="00DD3B16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del Distretto ed organizzazione del trasporto </w:t>
            </w:r>
          </w:p>
        </w:tc>
        <w:tc>
          <w:tcPr>
            <w:tcW w:w="3487" w:type="dxa"/>
          </w:tcPr>
          <w:p w:rsidR="002D0EAC" w:rsidRDefault="002D0EAC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D0EAC" w:rsidRDefault="002D0EAC" w:rsidP="006813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D0EAC" w:rsidTr="006813BE">
        <w:tc>
          <w:tcPr>
            <w:tcW w:w="3487" w:type="dxa"/>
          </w:tcPr>
          <w:p w:rsidR="002D0EAC" w:rsidRDefault="002D0EAC" w:rsidP="002D0EA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Verifiche di Cassa</w:t>
            </w:r>
          </w:p>
          <w:p w:rsidR="002D0EAC" w:rsidRPr="002D0EAC" w:rsidRDefault="002D0EAC" w:rsidP="00D53059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:rsidR="002D0EAC" w:rsidRDefault="002D0EAC" w:rsidP="002D0EA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controllo formale delle verifiche di Cassa trimestrali degli istituti, comunicazione esito agli Istituti</w:t>
            </w:r>
          </w:p>
          <w:p w:rsidR="002D0EAC" w:rsidRPr="002D0EAC" w:rsidRDefault="002D0EAC" w:rsidP="002D0EAC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</w:p>
        </w:tc>
        <w:tc>
          <w:tcPr>
            <w:tcW w:w="3487" w:type="dxa"/>
          </w:tcPr>
          <w:p w:rsidR="006552A3" w:rsidRDefault="006552A3" w:rsidP="006552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controllo formale delle verifiche di Cassa trimestrali degli istituti, comunicazione esito agli Istituti</w:t>
            </w:r>
          </w:p>
          <w:p w:rsidR="002D0EAC" w:rsidRDefault="002D0EAC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FE2DD9" w:rsidRPr="00FE2DD9" w:rsidRDefault="00FE2DD9" w:rsidP="00FE2DD9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FE2DD9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D0EAC" w:rsidRDefault="00FE2DD9" w:rsidP="00FE2DD9">
            <w:pPr>
              <w:jc w:val="center"/>
              <w:rPr>
                <w:b/>
                <w:sz w:val="24"/>
                <w:szCs w:val="24"/>
              </w:rPr>
            </w:pPr>
            <w:r w:rsidRPr="00FE2DD9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D0EAC" w:rsidTr="006813BE">
        <w:tc>
          <w:tcPr>
            <w:tcW w:w="3487" w:type="dxa"/>
          </w:tcPr>
          <w:p w:rsidR="002D0EAC" w:rsidRDefault="002D0EAC" w:rsidP="002D0EA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Mod. 381</w:t>
            </w:r>
          </w:p>
          <w:p w:rsidR="002D0EAC" w:rsidRDefault="002D0EAC" w:rsidP="002D0EA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487" w:type="dxa"/>
          </w:tcPr>
          <w:p w:rsidR="002D0EAC" w:rsidRDefault="002D0EAC" w:rsidP="002D0EA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controllo formale del modello, comunicazione esito agli Istituti </w:t>
            </w:r>
          </w:p>
          <w:p w:rsidR="002D0EAC" w:rsidRDefault="002D0EAC" w:rsidP="002D0EA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6552A3" w:rsidRDefault="006552A3" w:rsidP="006552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controllo formale del modello, comunicazione esito agli Istituti </w:t>
            </w:r>
          </w:p>
          <w:p w:rsidR="002D0EAC" w:rsidRDefault="002D0EAC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FE2DD9" w:rsidRPr="00FE2DD9" w:rsidRDefault="00FE2DD9" w:rsidP="00FE2DD9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FE2DD9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D0EAC" w:rsidRDefault="00FE2DD9" w:rsidP="00FE2DD9">
            <w:pPr>
              <w:jc w:val="center"/>
              <w:rPr>
                <w:b/>
                <w:sz w:val="24"/>
                <w:szCs w:val="24"/>
              </w:rPr>
            </w:pPr>
            <w:r w:rsidRPr="00FE2DD9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D0EAC" w:rsidTr="006813BE">
        <w:tc>
          <w:tcPr>
            <w:tcW w:w="3487" w:type="dxa"/>
          </w:tcPr>
          <w:p w:rsidR="002D0EAC" w:rsidRDefault="002D0EAC" w:rsidP="002D0EA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Missioni Dirigenti</w:t>
            </w:r>
          </w:p>
          <w:p w:rsidR="002D0EAC" w:rsidRDefault="002D0EAC" w:rsidP="002D0EA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487" w:type="dxa"/>
          </w:tcPr>
          <w:p w:rsidR="002D0EAC" w:rsidRDefault="002D0EAC" w:rsidP="002D0EA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controllo tabelle di missione dei Dirigenti per l'apposizione del visto.</w:t>
            </w:r>
          </w:p>
          <w:p w:rsidR="002D0EAC" w:rsidRDefault="002D0EAC" w:rsidP="002D0EA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controllo tabelle di missione dei Dirigenti per l'apposizione del visto.</w:t>
            </w:r>
          </w:p>
          <w:p w:rsidR="002D0EAC" w:rsidRDefault="002D0EAC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FE2DD9" w:rsidRPr="00FE2DD9" w:rsidRDefault="00FE2DD9" w:rsidP="00FE2DD9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FE2DD9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D0EAC" w:rsidRDefault="00FE2DD9" w:rsidP="00FE2DD9">
            <w:pPr>
              <w:jc w:val="center"/>
              <w:rPr>
                <w:b/>
                <w:sz w:val="24"/>
                <w:szCs w:val="24"/>
              </w:rPr>
            </w:pPr>
            <w:r w:rsidRPr="00FE2DD9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8E6A00" w:rsidTr="008E6A00">
        <w:trPr>
          <w:trHeight w:val="1250"/>
        </w:trPr>
        <w:tc>
          <w:tcPr>
            <w:tcW w:w="3487" w:type="dxa"/>
          </w:tcPr>
          <w:p w:rsidR="008E6A00" w:rsidRPr="00DD3B16" w:rsidRDefault="008E6A00" w:rsidP="008E6A0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D3B16">
              <w:rPr>
                <w:rFonts w:ascii="Calibri" w:hAnsi="Calibri" w:cs="Calibri"/>
                <w:b/>
                <w:color w:val="000000"/>
              </w:rPr>
              <w:t>Chiusura esercizio</w:t>
            </w:r>
          </w:p>
          <w:p w:rsidR="008E6A00" w:rsidRPr="00DD3B16" w:rsidRDefault="008E6A00" w:rsidP="008E6A0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Accertamento delle economie che generano i residui di spesa delegata e la verifica dei programmi di spesa residui,</w:t>
            </w:r>
          </w:p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8E6A00" w:rsidRPr="00F30AB6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Accertamento delle economie che generano i residui di spesa delegata e la verifica dei programmi di spesa residui,</w:t>
            </w:r>
          </w:p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8E6A00" w:rsidRPr="00F30AB6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487" w:type="dxa"/>
          </w:tcPr>
          <w:p w:rsidR="00FE2DD9" w:rsidRPr="00FE2DD9" w:rsidRDefault="00FE2DD9" w:rsidP="00FE2DD9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FE2DD9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8E6A00" w:rsidRDefault="00FE2DD9" w:rsidP="00FE2DD9">
            <w:pPr>
              <w:jc w:val="center"/>
              <w:rPr>
                <w:b/>
                <w:sz w:val="24"/>
                <w:szCs w:val="24"/>
              </w:rPr>
            </w:pPr>
            <w:r w:rsidRPr="00FE2DD9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8E6A00" w:rsidTr="006813BE">
        <w:tc>
          <w:tcPr>
            <w:tcW w:w="3487" w:type="dxa"/>
          </w:tcPr>
          <w:p w:rsidR="008E6A00" w:rsidRDefault="00EA4610" w:rsidP="008E6A0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F.U.A.   </w:t>
            </w:r>
          </w:p>
          <w:p w:rsidR="008E6A00" w:rsidRPr="00DD3B16" w:rsidRDefault="008E6A00" w:rsidP="008E6A0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Diramazione   agli Istituti della nota circolare. Esami dati ricevuti dalle direzioni, comparazione, controllo atti, inserimento dati in un file excel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e trasmissione al D.A.P. . </w:t>
            </w:r>
          </w:p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6A00" w:rsidTr="006813BE">
        <w:tc>
          <w:tcPr>
            <w:tcW w:w="3487" w:type="dxa"/>
          </w:tcPr>
          <w:p w:rsidR="008E6A00" w:rsidRPr="00C26110" w:rsidRDefault="008E6A00" w:rsidP="008E6A0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C26110">
              <w:rPr>
                <w:rFonts w:ascii="Calibri" w:hAnsi="Calibri" w:cs="Calibri"/>
                <w:b/>
                <w:color w:val="000000"/>
              </w:rPr>
              <w:lastRenderedPageBreak/>
              <w:t>Fondo Di Sede</w:t>
            </w:r>
          </w:p>
          <w:p w:rsidR="008E6A00" w:rsidRDefault="008E6A00" w:rsidP="008E6A0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esame dati ricevuti dalle direzioni, ripartizione importo agli istituti, inserimento file excel da trasmettere al DAP., trasmissione agli Istituti, trasmissione all’U.C.B.  per controllo di congruità.</w:t>
            </w:r>
          </w:p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esame dati ricevuti dalle direzioni, ripartizione importo agli istituti, inserimento file excel da trasmettere al DAP., trasmissione gli Istituti, trasmissione all’U.C.B.  per controllo di congruità.</w:t>
            </w:r>
          </w:p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FE2DD9" w:rsidRPr="00FE2DD9" w:rsidRDefault="00FE2DD9" w:rsidP="00FE2DD9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FE2DD9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8E6A00" w:rsidRDefault="00FE2DD9" w:rsidP="00FE2DD9">
            <w:pPr>
              <w:jc w:val="center"/>
              <w:rPr>
                <w:b/>
                <w:sz w:val="24"/>
                <w:szCs w:val="24"/>
              </w:rPr>
            </w:pPr>
            <w:r w:rsidRPr="00FE2DD9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8E6A00" w:rsidTr="006813BE">
        <w:tc>
          <w:tcPr>
            <w:tcW w:w="3487" w:type="dxa"/>
          </w:tcPr>
          <w:p w:rsidR="008E6A00" w:rsidRPr="00C26110" w:rsidRDefault="008E6A00" w:rsidP="008E6A0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C26110">
              <w:rPr>
                <w:rFonts w:ascii="Calibri" w:hAnsi="Calibri" w:cs="Calibri"/>
                <w:b/>
                <w:color w:val="000000"/>
              </w:rPr>
              <w:t>Straordinari Dirigenti Penitenziari</w:t>
            </w:r>
            <w:r w:rsidR="007B3AB7">
              <w:rPr>
                <w:rFonts w:ascii="Calibri" w:hAnsi="Calibri" w:cs="Calibri"/>
                <w:b/>
                <w:color w:val="000000"/>
              </w:rPr>
              <w:t xml:space="preserve"> e Comparto Funzioni Centrali</w:t>
            </w:r>
            <w:r w:rsidRPr="00C26110">
              <w:rPr>
                <w:rFonts w:ascii="Calibri" w:hAnsi="Calibri" w:cs="Calibri"/>
                <w:b/>
                <w:color w:val="000000"/>
              </w:rPr>
              <w:t xml:space="preserve"> </w:t>
            </w:r>
          </w:p>
          <w:p w:rsidR="008E6A00" w:rsidRDefault="008E6A00" w:rsidP="008E6A0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487" w:type="dxa"/>
          </w:tcPr>
          <w:p w:rsidR="008E6A00" w:rsidRDefault="007B3AB7" w:rsidP="008E6A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Esame cartellini, r</w:t>
            </w:r>
            <w:r w:rsidR="00972641">
              <w:rPr>
                <w:rFonts w:ascii="Calibri" w:hAnsi="Calibri" w:cs="Calibri"/>
                <w:color w:val="000000"/>
              </w:rPr>
              <w:t xml:space="preserve">ipartizione </w:t>
            </w:r>
            <w:r w:rsidR="008E6A00">
              <w:rPr>
                <w:rFonts w:ascii="Calibri" w:hAnsi="Calibri" w:cs="Calibri"/>
                <w:color w:val="000000"/>
              </w:rPr>
              <w:t>importo riguar</w:t>
            </w:r>
            <w:r w:rsidR="00FC004F">
              <w:rPr>
                <w:rFonts w:ascii="Calibri" w:hAnsi="Calibri" w:cs="Calibri"/>
                <w:color w:val="000000"/>
              </w:rPr>
              <w:t>dante il prim</w:t>
            </w:r>
            <w:r w:rsidR="005C5496">
              <w:rPr>
                <w:rFonts w:ascii="Calibri" w:hAnsi="Calibri" w:cs="Calibri"/>
                <w:color w:val="000000"/>
              </w:rPr>
              <w:t xml:space="preserve">o semestre, controllo sicoge, </w:t>
            </w:r>
            <w:r w:rsidR="00FC004F">
              <w:rPr>
                <w:rFonts w:ascii="Calibri" w:hAnsi="Calibri" w:cs="Calibri"/>
                <w:color w:val="000000"/>
              </w:rPr>
              <w:t>emissione</w:t>
            </w:r>
            <w:r w:rsidR="008E6A00">
              <w:rPr>
                <w:rFonts w:ascii="Calibri" w:hAnsi="Calibri" w:cs="Calibri"/>
                <w:color w:val="000000"/>
              </w:rPr>
              <w:t xml:space="preserve"> Ordini di Accreditamento</w:t>
            </w:r>
            <w:r w:rsidR="00FC004F">
              <w:rPr>
                <w:rFonts w:ascii="Calibri" w:hAnsi="Calibri" w:cs="Calibri"/>
                <w:color w:val="000000"/>
              </w:rPr>
              <w:t xml:space="preserve"> al personale avente diritto.</w:t>
            </w:r>
            <w:r w:rsidR="005C5496">
              <w:rPr>
                <w:rFonts w:ascii="Calibri" w:hAnsi="Calibri" w:cs="Calibri"/>
                <w:color w:val="000000"/>
              </w:rPr>
              <w:t xml:space="preserve"> monitoraggio agli istituti ed esame dell’andamento dei consumi, programmazione del secondo semestre</w:t>
            </w:r>
            <w:r w:rsidR="00EE753E">
              <w:rPr>
                <w:rFonts w:ascii="Calibri" w:hAnsi="Calibri" w:cs="Calibri"/>
                <w:color w:val="000000"/>
              </w:rPr>
              <w:t>, monitoraggio finalizzato a</w:t>
            </w:r>
            <w:r w:rsidR="008E6A00">
              <w:rPr>
                <w:rFonts w:ascii="Calibri" w:hAnsi="Calibri" w:cs="Calibri"/>
                <w:color w:val="000000"/>
              </w:rPr>
              <w:t xml:space="preserve"> p</w:t>
            </w:r>
            <w:r w:rsidR="00EE753E">
              <w:rPr>
                <w:rFonts w:ascii="Calibri" w:hAnsi="Calibri" w:cs="Calibri"/>
                <w:color w:val="000000"/>
              </w:rPr>
              <w:t>areggio di bilancio, verifica economie e ridistribuzione</w:t>
            </w:r>
          </w:p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6A00" w:rsidTr="006813BE">
        <w:tc>
          <w:tcPr>
            <w:tcW w:w="3487" w:type="dxa"/>
          </w:tcPr>
          <w:p w:rsidR="008E6A00" w:rsidRDefault="004F41B5" w:rsidP="008E6A0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Missioni</w:t>
            </w:r>
            <w:r w:rsidR="008E6A00">
              <w:rPr>
                <w:rFonts w:ascii="Calibri" w:hAnsi="Calibri" w:cs="Calibri"/>
                <w:b/>
                <w:bCs/>
                <w:color w:val="000000"/>
              </w:rPr>
              <w:t xml:space="preserve"> Comparto Ministeri E Dirigenti Cap. 1671/2</w:t>
            </w:r>
          </w:p>
          <w:p w:rsidR="008E6A00" w:rsidRDefault="008E6A00" w:rsidP="008E6A0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consultazione applicativo SICOGE per verifica accredito, programmazione e ripartizione del fabbisogno agli istituti e prap, predisposizione decreto da inviare alla Ragioneria Territoriale, Ordini di Accreditamento agli aventi diritto. verifica semestrale sul SICOGE, ricognizione dei dati, pareggio capitolo di bilancio.</w:t>
            </w:r>
          </w:p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consultazione applicativo SICOGE per verifica accredito, programmazione e ripartizione del fabbisogno agli istituti e prap, predisposizione decreto da inviare alla Ragioneria Territoriale, Ordini di Accreditamento agli aventi diritto. verifica semestrale sul SICOGE, ricognizione dei dati, pareggio capitolo di bilancio.</w:t>
            </w:r>
          </w:p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E6A00" w:rsidRPr="007719C6" w:rsidRDefault="008E6A00" w:rsidP="008E6A00">
            <w:pPr>
              <w:ind w:left="142" w:hanging="142"/>
              <w:jc w:val="center"/>
            </w:pPr>
          </w:p>
          <w:p w:rsidR="00FE2DD9" w:rsidRPr="00FE2DD9" w:rsidRDefault="00FE2DD9" w:rsidP="00FE2DD9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FE2DD9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8E6A00" w:rsidRDefault="00FE2DD9" w:rsidP="00FE2DD9">
            <w:pPr>
              <w:jc w:val="center"/>
              <w:rPr>
                <w:b/>
                <w:sz w:val="24"/>
                <w:szCs w:val="24"/>
              </w:rPr>
            </w:pPr>
            <w:r w:rsidRPr="00FE2DD9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8E6A00" w:rsidTr="00C26110">
        <w:trPr>
          <w:trHeight w:val="2170"/>
        </w:trPr>
        <w:tc>
          <w:tcPr>
            <w:tcW w:w="3487" w:type="dxa"/>
          </w:tcPr>
          <w:p w:rsidR="0030383D" w:rsidRPr="00C26110" w:rsidRDefault="0030383D" w:rsidP="0030383D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C26110">
              <w:rPr>
                <w:rFonts w:ascii="Calibri" w:hAnsi="Calibri" w:cs="Calibri"/>
                <w:b/>
                <w:color w:val="000000"/>
              </w:rPr>
              <w:lastRenderedPageBreak/>
              <w:t>Visite Fiscali Cap. 1635/1</w:t>
            </w:r>
            <w:r>
              <w:rPr>
                <w:rFonts w:ascii="Calibri" w:hAnsi="Calibri" w:cs="Calibri"/>
                <w:b/>
                <w:color w:val="000000"/>
              </w:rPr>
              <w:t xml:space="preserve"> per</w:t>
            </w:r>
          </w:p>
          <w:p w:rsidR="008E6A00" w:rsidRDefault="0030383D" w:rsidP="0034738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fatture</w:t>
            </w:r>
            <w:r w:rsidR="0034738E">
              <w:rPr>
                <w:rFonts w:ascii="Calibri" w:hAnsi="Calibri" w:cs="Calibri"/>
                <w:b/>
                <w:color w:val="000000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</w:rPr>
              <w:t xml:space="preserve">sospese presso gli istituti </w:t>
            </w:r>
            <w:r w:rsidR="0034738E">
              <w:rPr>
                <w:rFonts w:ascii="Calibri" w:hAnsi="Calibri" w:cs="Calibri"/>
                <w:b/>
                <w:color w:val="000000"/>
              </w:rPr>
              <w:t xml:space="preserve"> </w:t>
            </w: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verifica applicativo SICOGE, programmazione esami dati ricevuti dalle direzioni, riparto del fabbisogno agli istituti e prap ( I.P.E.), emissione   decreto da inviare alla Ragioneria Territoriale, Ordini di Accreditamento, verifica semestrale e pareggio di bilancio.</w:t>
            </w:r>
          </w:p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6A00" w:rsidTr="00C26110">
        <w:trPr>
          <w:trHeight w:val="2170"/>
        </w:trPr>
        <w:tc>
          <w:tcPr>
            <w:tcW w:w="3487" w:type="dxa"/>
          </w:tcPr>
          <w:p w:rsidR="008E6A00" w:rsidRPr="00C26110" w:rsidRDefault="008E6A00" w:rsidP="008E6A0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C26110">
              <w:rPr>
                <w:rFonts w:ascii="Calibri" w:hAnsi="Calibri" w:cs="Calibri"/>
                <w:b/>
                <w:color w:val="000000"/>
              </w:rPr>
              <w:t xml:space="preserve">Alloggi Demaniali Di Servizio </w:t>
            </w:r>
          </w:p>
          <w:p w:rsidR="008E6A00" w:rsidRPr="00C26110" w:rsidRDefault="008E6A00" w:rsidP="008E6A0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consultazione applicativo SIGP1 alloggi, verifica gli alloggi esistenti c/o gli istituti, inserimento nell’applicativo, verifica bimestrale dei dati trasmessi dagli istituti, inserimento dei dati in un file excel, trasmissione al Dipartimento. verifica SIGP1 alloggi liberi e agibili, verifica bandi, attività della commissione: esame degli atti, graduatoria, trasmissione all’istituto, emissione del decreto di assegnazione.</w:t>
            </w:r>
          </w:p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6A00" w:rsidTr="00C26110">
        <w:trPr>
          <w:trHeight w:val="1050"/>
        </w:trPr>
        <w:tc>
          <w:tcPr>
            <w:tcW w:w="3487" w:type="dxa"/>
          </w:tcPr>
          <w:p w:rsidR="008E6A00" w:rsidRPr="00C26110" w:rsidRDefault="008E6A00" w:rsidP="008E6A0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C26110">
              <w:rPr>
                <w:rFonts w:ascii="Calibri" w:hAnsi="Calibri" w:cs="Calibri"/>
                <w:b/>
                <w:color w:val="000000"/>
              </w:rPr>
              <w:t>Rendiconti Amministrativi E Giudiziali</w:t>
            </w:r>
          </w:p>
          <w:p w:rsidR="008E6A00" w:rsidRPr="00C26110" w:rsidRDefault="008E6A00" w:rsidP="008E6A0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Raccolta di tutti e rendiconti amministrativi e giudiziali e verifca attività degli istituti.</w:t>
            </w: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Raccolta di tutti e rendiconti amministrativi e giudiziali e verifca attività degli istituti.</w:t>
            </w:r>
          </w:p>
        </w:tc>
        <w:tc>
          <w:tcPr>
            <w:tcW w:w="3487" w:type="dxa"/>
          </w:tcPr>
          <w:p w:rsidR="00FE2DD9" w:rsidRPr="00FE2DD9" w:rsidRDefault="00FE2DD9" w:rsidP="00FE2DD9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FE2DD9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8E6A00" w:rsidRDefault="00FE2DD9" w:rsidP="00FE2DD9">
            <w:pPr>
              <w:jc w:val="center"/>
              <w:rPr>
                <w:b/>
                <w:sz w:val="24"/>
                <w:szCs w:val="24"/>
              </w:rPr>
            </w:pPr>
            <w:r w:rsidRPr="00FE2DD9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8E6A00" w:rsidTr="00C26110">
        <w:trPr>
          <w:trHeight w:val="823"/>
        </w:trPr>
        <w:tc>
          <w:tcPr>
            <w:tcW w:w="3487" w:type="dxa"/>
          </w:tcPr>
          <w:p w:rsidR="008E6A00" w:rsidRPr="00C26110" w:rsidRDefault="008E6A00" w:rsidP="008E6A0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B855FF">
              <w:rPr>
                <w:rFonts w:ascii="Calibri" w:hAnsi="Calibri" w:cs="Calibri"/>
                <w:b/>
                <w:color w:val="000000"/>
              </w:rPr>
              <w:t>Gestione contabile</w:t>
            </w:r>
          </w:p>
        </w:tc>
        <w:tc>
          <w:tcPr>
            <w:tcW w:w="3487" w:type="dxa"/>
          </w:tcPr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Predisposizione programmi di spesa su applicativo SICOGE</w:t>
            </w:r>
          </w:p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Raccolta della documentazione probatoria acquisti/costi afferenti servizio economato (ordini, ricevimenti materiali, visti di </w:t>
            </w: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congruità, ecc)</w:t>
            </w:r>
          </w:p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verifica sul sistema SICOGE dei documenti contabili relativi agli acquisti/costi afferenti servizio economato per accettazione/rifiuto degli stessi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Registrazione contabile documenti su sistema SICOGE (documenti di costo, fatture, note di credito)</w:t>
            </w:r>
          </w:p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Verifica degli adempimenti di legge (regolarità contributiva, controllo adempimenti fiscali, ecc)</w:t>
            </w:r>
          </w:p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Emissione dei gli ordinativi di pagamento per i documenti contabili in regola con la documentazione richiesta dalla normativa vogente</w:t>
            </w:r>
          </w:p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Predisposizione degli atti necessari nel caso di documentazione difforme (intervento sostitutitvo)</w:t>
            </w:r>
          </w:p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Firma degli odinativi di spesa da parte del F.D.</w:t>
            </w:r>
          </w:p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scansione dei documenti di spesa ed inserimento sul sistema SICOGE del fascicolo elettronico</w:t>
            </w:r>
          </w:p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Predisposione programmi di spesa residui su applicativo SICOGE</w:t>
            </w:r>
          </w:p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Gestione del contenzioso forniture</w:t>
            </w:r>
          </w:p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Predisposizone report per richesta monitoraggi dipartimentali</w:t>
            </w:r>
          </w:p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Predisposizione programmi di spesa su applicativo SICOGE</w:t>
            </w:r>
          </w:p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Raccolta della documentazione probatoria acquisti/costi afferenti servizio economato (ordini, ricevimenti materiali, visti di </w:t>
            </w: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congruità, ecc)</w:t>
            </w:r>
          </w:p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verifica sul sistema SICOGE dei documenti contabili relativi agli acquisti/costi afferenti servizio economato per accettazione/rifiuto degli stessi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Registrazione contabile documenti su sistema SICOGE (documenti di costo, fatture, note di credito)</w:t>
            </w:r>
          </w:p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Verifica degli adempimenti di legge (regolarità contributiva, controllo adempimenti fiscali, ecc)</w:t>
            </w:r>
          </w:p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Emissione dei gli ordinativi di pagamento per i documenti contabili in regola con la documentazione richiesta dalla normativa vogente</w:t>
            </w:r>
          </w:p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Predisposizione degli atti necessari nel caso di documentazione difforme (intervento sostitutitvo)</w:t>
            </w:r>
          </w:p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Firma degli odinativi di spesa da parte del F.D.</w:t>
            </w:r>
          </w:p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scansione dei documenti di spesa ed inserimento sul sistema SICOGE del fascicolo elettronico</w:t>
            </w:r>
          </w:p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Predisposione programmi di spesa residui su applicativo SICOGE</w:t>
            </w:r>
          </w:p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Gestione del contenzioso forniture</w:t>
            </w:r>
          </w:p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Predisposizone report per richesta monitoraggi dipartimentali</w:t>
            </w:r>
          </w:p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FE2DD9" w:rsidRPr="00FE2DD9" w:rsidRDefault="00FE2DD9" w:rsidP="00FE2DD9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FE2DD9">
              <w:rPr>
                <w:rFonts w:ascii="Calibri" w:eastAsia="Calibri" w:hAnsi="Calibri" w:cs="Times New Roman"/>
              </w:rPr>
              <w:lastRenderedPageBreak/>
              <w:t xml:space="preserve">Piattaforma TEAMS </w:t>
            </w:r>
          </w:p>
          <w:p w:rsidR="008E6A00" w:rsidRDefault="00FE2DD9" w:rsidP="00FE2DD9">
            <w:pPr>
              <w:ind w:left="142" w:hanging="142"/>
              <w:jc w:val="center"/>
              <w:rPr>
                <w:b/>
                <w:sz w:val="24"/>
                <w:szCs w:val="24"/>
              </w:rPr>
            </w:pPr>
            <w:r w:rsidRPr="00FE2DD9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8E6A00" w:rsidTr="00C26110">
        <w:trPr>
          <w:trHeight w:val="823"/>
        </w:trPr>
        <w:tc>
          <w:tcPr>
            <w:tcW w:w="3487" w:type="dxa"/>
          </w:tcPr>
          <w:p w:rsidR="008E6A00" w:rsidRPr="00B855FF" w:rsidRDefault="008E6A00" w:rsidP="008E6A0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B855FF">
              <w:rPr>
                <w:rFonts w:ascii="Calibri" w:hAnsi="Calibri" w:cs="Calibri"/>
                <w:b/>
                <w:color w:val="000000"/>
              </w:rPr>
              <w:lastRenderedPageBreak/>
              <w:t>Chiusura contabile esercizio</w:t>
            </w:r>
          </w:p>
          <w:p w:rsidR="008E6A00" w:rsidRPr="00B855FF" w:rsidRDefault="008E6A00" w:rsidP="008E6A0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predisposizione dei Rendiconti annuali (verifica dei titoli estinti, verifica della presenza di tutti i fascoli elettronici, invio telematico dei Rendiconti annuali tramite sistema SICOGE alla Ragioneria Territoriale dello Stato)</w:t>
            </w:r>
          </w:p>
          <w:p w:rsidR="008E6A00" w:rsidRPr="00787468" w:rsidRDefault="008E6A00" w:rsidP="008E6A00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6A00" w:rsidTr="00C26110">
        <w:trPr>
          <w:trHeight w:val="823"/>
        </w:trPr>
        <w:tc>
          <w:tcPr>
            <w:tcW w:w="3487" w:type="dxa"/>
          </w:tcPr>
          <w:p w:rsidR="008E6A00" w:rsidRPr="00B855FF" w:rsidRDefault="008E6A00" w:rsidP="008E6A0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B855FF">
              <w:rPr>
                <w:rFonts w:ascii="Calibri" w:hAnsi="Calibri" w:cs="Calibri"/>
                <w:b/>
                <w:color w:val="000000"/>
              </w:rPr>
              <w:t>Adempimenti fiscali</w:t>
            </w: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Raccolta dati per predisposizione dichiarazioni fiscali </w:t>
            </w:r>
          </w:p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Predisposizione software ed ambiente informatico per inserimento ed invio telematcio dichiarazioni fiscali </w:t>
            </w:r>
          </w:p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Inserimento valori, invio telematico AdE, invio documentazione ai singoli percettori tramite pec (Certificazione uniche, modello 770, dichiarazione IRAP, anagrafe tributaria contratti)</w:t>
            </w:r>
          </w:p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6A00" w:rsidTr="00C26110">
        <w:trPr>
          <w:trHeight w:val="823"/>
        </w:trPr>
        <w:tc>
          <w:tcPr>
            <w:tcW w:w="3487" w:type="dxa"/>
          </w:tcPr>
          <w:p w:rsidR="008E6A00" w:rsidRPr="00B855FF" w:rsidRDefault="008E6A00" w:rsidP="008E6A0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A72E44">
              <w:rPr>
                <w:rFonts w:ascii="Calibri" w:hAnsi="Calibri" w:cs="Calibri"/>
                <w:b/>
                <w:color w:val="000000"/>
              </w:rPr>
              <w:t>Gestione acquisti</w:t>
            </w:r>
          </w:p>
        </w:tc>
        <w:tc>
          <w:tcPr>
            <w:tcW w:w="3487" w:type="dxa"/>
          </w:tcPr>
          <w:p w:rsidR="008E6A00" w:rsidRDefault="008E6A00" w:rsidP="008E6A00"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Programmazione biennale acquisti beni/servizi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, </w:t>
            </w: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Verifica richieste di approvvigionamento/acquisti in relazione ai fondi assegnati</w:t>
            </w:r>
          </w:p>
          <w:p w:rsidR="008E6A00" w:rsidRDefault="008E6A00" w:rsidP="008E6A00"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Predisposizione degli atti autorizzativi degli acquisti (determine e contrarre, CIG, ecc)</w:t>
            </w:r>
          </w:p>
          <w:p w:rsidR="008E6A00" w:rsidRDefault="008E6A00" w:rsidP="008E6A00"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individuazione tipologia acquisto (gara, Rdo, trattativa diretta, ecc) - ricerche di mercato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, </w:t>
            </w: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Predisposizione atti di gara/acquisto su piattaforme dedicate e/o ordini diretti fuori </w:t>
            </w: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piattaforma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, </w:t>
            </w: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Predisposizione adempimenti ISTAT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, </w:t>
            </w: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Predisposizione degli adempimenti legislativi in materia di trasparenza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, </w:t>
            </w: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ricezione beni/servizi unitamente al 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</w:t>
            </w:r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>onsegnatario</w:t>
            </w:r>
          </w:p>
          <w:p w:rsidR="008E6A00" w:rsidRDefault="008E6A00" w:rsidP="008E6A00">
            <w:r w:rsidRPr="0078746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Distribuzione beni/servizi  </w:t>
            </w:r>
          </w:p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6A00" w:rsidTr="00C26110">
        <w:trPr>
          <w:trHeight w:val="823"/>
        </w:trPr>
        <w:tc>
          <w:tcPr>
            <w:tcW w:w="3487" w:type="dxa"/>
          </w:tcPr>
          <w:p w:rsidR="008E6A00" w:rsidRPr="00A72E44" w:rsidRDefault="008E6A00" w:rsidP="008E6A0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A72E44">
              <w:rPr>
                <w:rFonts w:ascii="Calibri" w:hAnsi="Calibri" w:cs="Calibri"/>
                <w:b/>
                <w:color w:val="000000"/>
              </w:rPr>
              <w:lastRenderedPageBreak/>
              <w:t>Missioni Comparto Sicurezza E Funzioni Centrali</w:t>
            </w:r>
          </w:p>
          <w:p w:rsidR="008E6A00" w:rsidRPr="00A72E44" w:rsidRDefault="008E6A00" w:rsidP="008E6A0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Sviluppo, contabilizzazione ed inserimento Ordinativo di pagamento rimborsi spese per missioni comparto sicurezza e funzioni centrali</w:t>
            </w:r>
          </w:p>
          <w:p w:rsidR="008E6A00" w:rsidRPr="00787468" w:rsidRDefault="008E6A00" w:rsidP="008E6A00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487" w:type="dxa"/>
          </w:tcPr>
          <w:p w:rsidR="009F1E0B" w:rsidRDefault="009F1E0B" w:rsidP="009F1E0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Sviluppo, contabilizzazione ed inserimento Ordinativo di pagamento rimborsi spese per missioni comparto sicurezza e funzioni centrali</w:t>
            </w:r>
          </w:p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ED1DEC" w:rsidRPr="00ED1DEC" w:rsidRDefault="00ED1DEC" w:rsidP="00ED1DEC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ED1DEC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8E6A00" w:rsidRDefault="00ED1DEC" w:rsidP="00ED1DEC">
            <w:pPr>
              <w:jc w:val="center"/>
              <w:rPr>
                <w:b/>
                <w:sz w:val="24"/>
                <w:szCs w:val="24"/>
              </w:rPr>
            </w:pPr>
            <w:r w:rsidRPr="00ED1DEC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8E6A00" w:rsidTr="00A72E44">
        <w:trPr>
          <w:trHeight w:val="637"/>
        </w:trPr>
        <w:tc>
          <w:tcPr>
            <w:tcW w:w="3487" w:type="dxa"/>
          </w:tcPr>
          <w:p w:rsidR="008E6A00" w:rsidRPr="00A72E44" w:rsidRDefault="008E6A00" w:rsidP="008E6A0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A72E44">
              <w:rPr>
                <w:rFonts w:ascii="Calibri" w:hAnsi="Calibri" w:cs="Calibri"/>
                <w:b/>
                <w:color w:val="000000"/>
              </w:rPr>
              <w:t>Adempimenti Legge Smuraglia</w:t>
            </w:r>
          </w:p>
          <w:p w:rsidR="008E6A00" w:rsidRPr="00A72E44" w:rsidRDefault="008E6A00" w:rsidP="008E6A0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Adempimenti legge Smuraglia </w:t>
            </w:r>
          </w:p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9F1E0B" w:rsidRDefault="009F1E0B" w:rsidP="009F1E0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Adempimenti legge Smuraglia </w:t>
            </w:r>
          </w:p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ED1DEC" w:rsidRPr="00ED1DEC" w:rsidRDefault="00ED1DEC" w:rsidP="00ED1DEC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ED1DEC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8E6A00" w:rsidRDefault="00ED1DEC" w:rsidP="00ED1DEC">
            <w:pPr>
              <w:jc w:val="center"/>
              <w:rPr>
                <w:b/>
                <w:sz w:val="24"/>
                <w:szCs w:val="24"/>
              </w:rPr>
            </w:pPr>
            <w:r w:rsidRPr="00ED1DEC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8E6A00" w:rsidTr="00C26110">
        <w:trPr>
          <w:trHeight w:val="823"/>
        </w:trPr>
        <w:tc>
          <w:tcPr>
            <w:tcW w:w="3487" w:type="dxa"/>
          </w:tcPr>
          <w:p w:rsidR="008E6A00" w:rsidRPr="00A72E44" w:rsidRDefault="008E6A00" w:rsidP="008E6A0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A72E44">
              <w:rPr>
                <w:rFonts w:ascii="Calibri" w:hAnsi="Calibri" w:cs="Calibri"/>
                <w:b/>
                <w:color w:val="000000"/>
              </w:rPr>
              <w:t>Competenze Accessorie Comparto Sicurezza</w:t>
            </w:r>
          </w:p>
          <w:p w:rsidR="008E6A00" w:rsidRPr="00A72E44" w:rsidRDefault="008E6A00" w:rsidP="008E6A0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Inserimento su sistema SIGP1 delle competenze accessorie comparto sicurezza</w:t>
            </w:r>
          </w:p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6A00" w:rsidTr="00A72E44">
        <w:trPr>
          <w:trHeight w:val="604"/>
        </w:trPr>
        <w:tc>
          <w:tcPr>
            <w:tcW w:w="3487" w:type="dxa"/>
          </w:tcPr>
          <w:p w:rsidR="008E6A00" w:rsidRPr="00A72E44" w:rsidRDefault="008E6A00" w:rsidP="008E6A0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A72E44">
              <w:rPr>
                <w:rFonts w:ascii="Calibri" w:hAnsi="Calibri" w:cs="Calibri"/>
                <w:b/>
                <w:color w:val="000000"/>
              </w:rPr>
              <w:t>Inserimento Competenze Fesi</w:t>
            </w:r>
          </w:p>
          <w:p w:rsidR="008E6A00" w:rsidRPr="00A72E44" w:rsidRDefault="008E6A00" w:rsidP="008E6A0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Inserimento su sistema SIGP1 FESI</w:t>
            </w:r>
          </w:p>
          <w:p w:rsidR="008E6A00" w:rsidRDefault="008E6A00" w:rsidP="008E6A0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E6A00" w:rsidRDefault="008E6A00" w:rsidP="008E6A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72E44" w:rsidTr="00A72E44">
        <w:tc>
          <w:tcPr>
            <w:tcW w:w="3487" w:type="dxa"/>
          </w:tcPr>
          <w:p w:rsidR="00A72E44" w:rsidRPr="00860517" w:rsidRDefault="00A72E44" w:rsidP="00A72E4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60517">
              <w:rPr>
                <w:rFonts w:ascii="Calibri" w:hAnsi="Calibri" w:cs="Calibri"/>
                <w:b/>
                <w:color w:val="000000"/>
              </w:rPr>
              <w:t xml:space="preserve">Programma </w:t>
            </w:r>
            <w:r w:rsidR="00860517" w:rsidRPr="00860517">
              <w:rPr>
                <w:rFonts w:ascii="Calibri" w:hAnsi="Calibri" w:cs="Calibri"/>
                <w:b/>
                <w:color w:val="000000"/>
              </w:rPr>
              <w:t xml:space="preserve">Annuale </w:t>
            </w:r>
            <w:r w:rsidRPr="00860517">
              <w:rPr>
                <w:rFonts w:ascii="Calibri" w:hAnsi="Calibri" w:cs="Calibri"/>
                <w:b/>
                <w:color w:val="000000"/>
              </w:rPr>
              <w:t xml:space="preserve">Lavori </w:t>
            </w:r>
            <w:r w:rsidR="00860517" w:rsidRPr="00860517">
              <w:rPr>
                <w:rFonts w:ascii="Calibri" w:hAnsi="Calibri" w:cs="Calibri"/>
                <w:b/>
                <w:color w:val="000000"/>
              </w:rPr>
              <w:t>Pubblici</w:t>
            </w:r>
          </w:p>
          <w:p w:rsidR="00A72E44" w:rsidRDefault="00A72E44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A72E44" w:rsidRDefault="00A72E44" w:rsidP="00A72E4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Analisi fabbisogno da quadri </w:t>
            </w:r>
            <w:r w:rsidR="00860517">
              <w:rPr>
                <w:rFonts w:ascii="Calibri" w:hAnsi="Calibri" w:cs="Calibri"/>
                <w:color w:val="000000"/>
              </w:rPr>
              <w:t>e</w:t>
            </w:r>
            <w:r>
              <w:rPr>
                <w:rFonts w:ascii="Calibri" w:hAnsi="Calibri" w:cs="Calibri"/>
                <w:color w:val="000000"/>
              </w:rPr>
              <w:t>sigenziali delle Direzioni dipendenti; elaborazione perizie di stima sommaria; elaborazione documenti preliminari della progettazione</w:t>
            </w:r>
          </w:p>
          <w:p w:rsidR="00A72E44" w:rsidRDefault="00A72E44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5F48DD" w:rsidRDefault="005F48DD" w:rsidP="005F48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Analisi fabbisogno da quadri esigenziali delle Direzioni dipendenti; elaborazione perizie di stima sommaria; elaborazione documenti preliminari della progettazione</w:t>
            </w:r>
          </w:p>
          <w:p w:rsidR="00A72E44" w:rsidRDefault="00A72E44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F27916" w:rsidRPr="00F27916" w:rsidRDefault="00F27916" w:rsidP="00F27916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F27916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A72E44" w:rsidRDefault="00F27916" w:rsidP="00F27916">
            <w:pPr>
              <w:jc w:val="center"/>
              <w:rPr>
                <w:b/>
                <w:sz w:val="24"/>
                <w:szCs w:val="24"/>
              </w:rPr>
            </w:pPr>
            <w:r w:rsidRPr="00F27916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A72E44" w:rsidTr="00A72E44">
        <w:tc>
          <w:tcPr>
            <w:tcW w:w="3487" w:type="dxa"/>
          </w:tcPr>
          <w:p w:rsidR="00860517" w:rsidRPr="00860517" w:rsidRDefault="00860517" w:rsidP="00860517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60517">
              <w:rPr>
                <w:rFonts w:ascii="Calibri" w:hAnsi="Calibri" w:cs="Calibri"/>
                <w:b/>
                <w:color w:val="000000"/>
              </w:rPr>
              <w:t>Progetto Lavori Pubblici I, II E III Liv.</w:t>
            </w:r>
          </w:p>
          <w:p w:rsidR="00A72E44" w:rsidRDefault="00A72E44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60517" w:rsidRDefault="00860517" w:rsidP="008605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Sopralluoghi per accertamento dello stato di fatto; Analisi del contesto urbanistico, ambientale e </w:t>
            </w:r>
            <w:r>
              <w:rPr>
                <w:rFonts w:ascii="Calibri" w:hAnsi="Calibri" w:cs="Calibri"/>
                <w:color w:val="000000"/>
              </w:rPr>
              <w:lastRenderedPageBreak/>
              <w:t>funzionale. Analisi della documentazione tecnico amministrativa preesistente; Redazione elaborati progettuali</w:t>
            </w:r>
          </w:p>
          <w:p w:rsidR="00A72E44" w:rsidRDefault="00A72E44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A72E44" w:rsidRDefault="005F48DD" w:rsidP="006813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Analisi della documentazione tecnico amministrativa preesistente; Redazione elaborati progettuali</w:t>
            </w:r>
          </w:p>
        </w:tc>
        <w:tc>
          <w:tcPr>
            <w:tcW w:w="3487" w:type="dxa"/>
          </w:tcPr>
          <w:p w:rsidR="00F27916" w:rsidRPr="00F27916" w:rsidRDefault="00F27916" w:rsidP="00F27916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F27916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A72E44" w:rsidRDefault="00F27916" w:rsidP="00F27916">
            <w:pPr>
              <w:jc w:val="center"/>
              <w:rPr>
                <w:b/>
                <w:sz w:val="24"/>
                <w:szCs w:val="24"/>
              </w:rPr>
            </w:pPr>
            <w:r w:rsidRPr="00F27916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860517" w:rsidTr="00A72E44">
        <w:tc>
          <w:tcPr>
            <w:tcW w:w="3487" w:type="dxa"/>
          </w:tcPr>
          <w:p w:rsidR="00860517" w:rsidRPr="00860517" w:rsidRDefault="009151C6" w:rsidP="00860517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lastRenderedPageBreak/>
              <w:t>P</w:t>
            </w:r>
            <w:r w:rsidR="00F27916">
              <w:rPr>
                <w:rFonts w:ascii="Calibri" w:hAnsi="Calibri" w:cs="Calibri"/>
                <w:b/>
                <w:color w:val="000000"/>
              </w:rPr>
              <w:t xml:space="preserve">rogetti </w:t>
            </w:r>
            <w:r w:rsidR="00860517" w:rsidRPr="00860517">
              <w:rPr>
                <w:rFonts w:ascii="Calibri" w:hAnsi="Calibri" w:cs="Calibri"/>
                <w:b/>
                <w:color w:val="000000"/>
              </w:rPr>
              <w:t xml:space="preserve"> lavori pubblici</w:t>
            </w:r>
          </w:p>
          <w:p w:rsidR="00860517" w:rsidRPr="00860517" w:rsidRDefault="00860517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60517" w:rsidRDefault="00860517" w:rsidP="008605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Analisi degli elaborati progettuali e valutazione degli stessi sotto il profilo di conformità agli standard normativi. </w:t>
            </w:r>
          </w:p>
          <w:p w:rsidR="00860517" w:rsidRDefault="00860517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5F48DD" w:rsidRDefault="005F48DD" w:rsidP="005F48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Analisi degli elaborati progettuali e valutazione degli stessi sotto il profilo di conformità agli standard normativi. </w:t>
            </w:r>
          </w:p>
          <w:p w:rsidR="00860517" w:rsidRDefault="00860517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F27916" w:rsidRPr="00F27916" w:rsidRDefault="00F27916" w:rsidP="00F27916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F27916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860517" w:rsidRDefault="00F27916" w:rsidP="00F27916">
            <w:pPr>
              <w:jc w:val="center"/>
              <w:rPr>
                <w:b/>
                <w:sz w:val="24"/>
                <w:szCs w:val="24"/>
              </w:rPr>
            </w:pPr>
            <w:r w:rsidRPr="00F27916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860517" w:rsidTr="00A72E44">
        <w:tc>
          <w:tcPr>
            <w:tcW w:w="3487" w:type="dxa"/>
          </w:tcPr>
          <w:p w:rsidR="00860517" w:rsidRPr="00860517" w:rsidRDefault="00860517" w:rsidP="00860517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60517">
              <w:rPr>
                <w:rFonts w:ascii="Calibri" w:hAnsi="Calibri" w:cs="Calibri"/>
                <w:b/>
                <w:color w:val="000000"/>
              </w:rPr>
              <w:t>Gestione di appalti pubblici di Lavori (RUP)</w:t>
            </w:r>
          </w:p>
          <w:p w:rsidR="00860517" w:rsidRPr="00860517" w:rsidRDefault="00860517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60517" w:rsidRDefault="00860517" w:rsidP="008605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Impulso e formulazione di proposte nella fase di programmazione;  indirizzo  e  validazione progetti; verifica e controllo di legittimità /conformità degli affidamenti; verifica e approvazione della condotta dei lavori in fase esecutiva, emissione dei certificati di pagamento; approvazione del certificato di regolare esecuzione degli appalti. </w:t>
            </w:r>
          </w:p>
          <w:p w:rsidR="00860517" w:rsidRDefault="00860517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5F48DD" w:rsidRDefault="005F48DD" w:rsidP="005F48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Impulso e formulazione di proposte nella fase di programmazione;  indirizzo  e  validazione progetti; verifica e controllo di legittimità /conformità degli affidamenti; verifica e approvazione della condotta dei lavori in fase esecutiva, emissione dei certificati di pagamento; approvazione del certificato di regolare esecuzione degli appalti. </w:t>
            </w:r>
          </w:p>
          <w:p w:rsidR="00860517" w:rsidRDefault="00860517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F27916" w:rsidRPr="00F27916" w:rsidRDefault="00F27916" w:rsidP="00F27916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F27916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860517" w:rsidRDefault="00F27916" w:rsidP="00F27916">
            <w:pPr>
              <w:jc w:val="center"/>
              <w:rPr>
                <w:b/>
                <w:sz w:val="24"/>
                <w:szCs w:val="24"/>
              </w:rPr>
            </w:pPr>
            <w:r w:rsidRPr="00F27916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860517" w:rsidTr="00A72E44">
        <w:tc>
          <w:tcPr>
            <w:tcW w:w="3487" w:type="dxa"/>
          </w:tcPr>
          <w:p w:rsidR="00860517" w:rsidRPr="00860517" w:rsidRDefault="001B7481" w:rsidP="00860517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Direzione </w:t>
            </w:r>
            <w:r w:rsidR="00860517" w:rsidRPr="00860517">
              <w:rPr>
                <w:rFonts w:ascii="Calibri" w:hAnsi="Calibri" w:cs="Calibri"/>
                <w:b/>
                <w:color w:val="000000"/>
              </w:rPr>
              <w:t>lavori in appalti</w:t>
            </w:r>
            <w:r w:rsidR="003B363E">
              <w:rPr>
                <w:rFonts w:ascii="Calibri" w:hAnsi="Calibri" w:cs="Calibri"/>
                <w:b/>
                <w:color w:val="000000"/>
              </w:rPr>
              <w:t xml:space="preserve"> pubblici </w:t>
            </w:r>
          </w:p>
          <w:p w:rsidR="00860517" w:rsidRPr="00860517" w:rsidRDefault="00860517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60517" w:rsidRDefault="00860517" w:rsidP="008605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Esame della documentazione propedeutica; consegna dei lavori; visite in cantiere  e riunioni operative e di coordinamento con l'appaltatore; elaborazione contabilità; tenuta giornale dei lavori; trattazione delle modifiche contrattuali (varianti); esecuzione delle prove di accettazione dei materiali e manufatti; esecuzione di prove di funzionalità impiantistica, </w:t>
            </w:r>
            <w:r>
              <w:rPr>
                <w:rFonts w:ascii="Calibri" w:hAnsi="Calibri" w:cs="Calibri"/>
                <w:color w:val="000000"/>
              </w:rPr>
              <w:lastRenderedPageBreak/>
              <w:t>emanazione di ordini di Servizio e disposizioni; redazione di verbali e certificati; certificazione della Regolare Esecuzione del contratto.</w:t>
            </w:r>
          </w:p>
          <w:p w:rsidR="00860517" w:rsidRDefault="00860517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60517" w:rsidRDefault="005F48DD" w:rsidP="005F48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Esame della documentazione propedeutica; elaborazione contabilità; trattazione delle modifiche contrattuali (varianti); emanazione di ordini di Servizio e disposizioni; redazione minute di verbali e certificati</w:t>
            </w:r>
          </w:p>
        </w:tc>
        <w:tc>
          <w:tcPr>
            <w:tcW w:w="3487" w:type="dxa"/>
          </w:tcPr>
          <w:p w:rsidR="001B7481" w:rsidRPr="001B7481" w:rsidRDefault="001B7481" w:rsidP="001B7481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1B7481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860517" w:rsidRDefault="001B7481" w:rsidP="001B7481">
            <w:pPr>
              <w:jc w:val="center"/>
              <w:rPr>
                <w:b/>
                <w:sz w:val="24"/>
                <w:szCs w:val="24"/>
              </w:rPr>
            </w:pPr>
            <w:r w:rsidRPr="001B7481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860517" w:rsidTr="00A72E44">
        <w:tc>
          <w:tcPr>
            <w:tcW w:w="3487" w:type="dxa"/>
          </w:tcPr>
          <w:p w:rsidR="00860517" w:rsidRPr="00860517" w:rsidRDefault="00860517" w:rsidP="00860517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60517">
              <w:rPr>
                <w:rFonts w:ascii="Calibri" w:hAnsi="Calibri" w:cs="Calibri"/>
                <w:b/>
                <w:color w:val="000000"/>
              </w:rPr>
              <w:lastRenderedPageBreak/>
              <w:t>Collaudo di Lavori pubblici</w:t>
            </w:r>
          </w:p>
          <w:p w:rsidR="00860517" w:rsidRPr="00860517" w:rsidRDefault="00860517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60517" w:rsidRDefault="00860517" w:rsidP="008605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Esame ed analisi del progetto a base di contratto; Visite in cantiere; indicazione delle prove di collaudo in corso dell'opera e analisi degli esiti; Analisi degli atti contabili e pronunciamento sulle richieste dell'appaltatore; accertamenti di conformità e approvazione delle modifiche contrattuali; Emissione dei certificati di collaudo.</w:t>
            </w:r>
          </w:p>
          <w:p w:rsidR="00860517" w:rsidRDefault="00860517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60517" w:rsidRDefault="005F48DD" w:rsidP="006813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Esame ed analisi del progetto a base di contratto; indicazione delle prove di collaudo in corso dell'opera e analisi degli esiti; Analisi degli atti contabili e pronunciamento sulle richieste dell'appaltatore; </w:t>
            </w:r>
          </w:p>
          <w:p w:rsidR="005F48DD" w:rsidRDefault="005F48DD" w:rsidP="006813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elaborazione minuta del certificato di collaudo.</w:t>
            </w:r>
          </w:p>
        </w:tc>
        <w:tc>
          <w:tcPr>
            <w:tcW w:w="3487" w:type="dxa"/>
          </w:tcPr>
          <w:p w:rsidR="001B7481" w:rsidRPr="001B7481" w:rsidRDefault="001B7481" w:rsidP="001B7481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1B7481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860517" w:rsidRDefault="001B7481" w:rsidP="001B7481">
            <w:pPr>
              <w:jc w:val="center"/>
              <w:rPr>
                <w:b/>
                <w:sz w:val="24"/>
                <w:szCs w:val="24"/>
              </w:rPr>
            </w:pPr>
            <w:r w:rsidRPr="001B7481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860517" w:rsidTr="00A72E44">
        <w:tc>
          <w:tcPr>
            <w:tcW w:w="3487" w:type="dxa"/>
          </w:tcPr>
          <w:p w:rsidR="00860517" w:rsidRPr="00860517" w:rsidRDefault="00860517" w:rsidP="00860517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60517">
              <w:rPr>
                <w:rFonts w:ascii="Calibri" w:hAnsi="Calibri" w:cs="Calibri"/>
                <w:b/>
                <w:color w:val="000000"/>
              </w:rPr>
              <w:t>Parere tecnico economico di congruità</w:t>
            </w:r>
          </w:p>
          <w:p w:rsidR="00860517" w:rsidRPr="00860517" w:rsidRDefault="00860517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60517" w:rsidRDefault="00860517" w:rsidP="008605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Accertamento dello stato di fatto; Valutazione della convenienza ed economicità dell'intervento correttivo; Comparazione offerte; Rilascio parere o visto di congruità.</w:t>
            </w:r>
          </w:p>
          <w:p w:rsidR="00860517" w:rsidRDefault="00860517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60517" w:rsidRDefault="005F48DD" w:rsidP="006813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Valutazione della convenienza ed economicità dell'intervento correttivo; Comparazione offerte; Rilascio parere o visto di congruità.</w:t>
            </w:r>
          </w:p>
        </w:tc>
        <w:tc>
          <w:tcPr>
            <w:tcW w:w="3487" w:type="dxa"/>
          </w:tcPr>
          <w:p w:rsidR="001B7481" w:rsidRPr="001B7481" w:rsidRDefault="001B7481" w:rsidP="001B7481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1B7481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860517" w:rsidRDefault="001B7481" w:rsidP="001B7481">
            <w:pPr>
              <w:jc w:val="center"/>
              <w:rPr>
                <w:b/>
                <w:sz w:val="24"/>
                <w:szCs w:val="24"/>
              </w:rPr>
            </w:pPr>
            <w:r w:rsidRPr="001B7481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860517" w:rsidTr="00A72E44">
        <w:tc>
          <w:tcPr>
            <w:tcW w:w="3487" w:type="dxa"/>
          </w:tcPr>
          <w:p w:rsidR="00860517" w:rsidRPr="00860517" w:rsidRDefault="009151C6" w:rsidP="009151C6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F</w:t>
            </w:r>
            <w:r w:rsidR="00860517" w:rsidRPr="00860517">
              <w:rPr>
                <w:rFonts w:ascii="Calibri" w:hAnsi="Calibri" w:cs="Calibri"/>
                <w:b/>
                <w:color w:val="000000"/>
              </w:rPr>
              <w:t>uori uso per beni di natura</w:t>
            </w:r>
            <w:r>
              <w:rPr>
                <w:rFonts w:ascii="Calibri" w:hAnsi="Calibri" w:cs="Calibri"/>
                <w:b/>
                <w:color w:val="000000"/>
              </w:rPr>
              <w:t xml:space="preserve">   </w:t>
            </w:r>
            <w:r w:rsidR="00860517" w:rsidRPr="00860517">
              <w:rPr>
                <w:rFonts w:ascii="Calibri" w:hAnsi="Calibri" w:cs="Calibri"/>
                <w:b/>
                <w:color w:val="000000"/>
              </w:rPr>
              <w:t>tecnologica</w:t>
            </w:r>
          </w:p>
          <w:p w:rsidR="00860517" w:rsidRPr="00860517" w:rsidRDefault="00860517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60517" w:rsidRDefault="00860517" w:rsidP="008605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Constatazione dello stato di fatto;  Acquisizione offerte; Valutazione della NON convenienza ed economicità dell'intervento correttivo, laddove possibile; Emissione del Verbale di fuori uso .</w:t>
            </w:r>
          </w:p>
          <w:p w:rsidR="00860517" w:rsidRDefault="00860517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60517" w:rsidRDefault="005F48DD" w:rsidP="006813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Acquisizione offerte; Valutazione della NON convenienza ed economicità dell'intervento correttivo, laddove possibile; Emissione del Verbale di fuori uso</w:t>
            </w:r>
          </w:p>
        </w:tc>
        <w:tc>
          <w:tcPr>
            <w:tcW w:w="3487" w:type="dxa"/>
          </w:tcPr>
          <w:p w:rsidR="001B7481" w:rsidRPr="001B7481" w:rsidRDefault="001B7481" w:rsidP="001B7481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1B7481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860517" w:rsidRDefault="001B7481" w:rsidP="001B7481">
            <w:pPr>
              <w:jc w:val="center"/>
              <w:rPr>
                <w:b/>
                <w:sz w:val="24"/>
                <w:szCs w:val="24"/>
              </w:rPr>
            </w:pPr>
            <w:r w:rsidRPr="001B7481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860517" w:rsidTr="00A72E44">
        <w:tc>
          <w:tcPr>
            <w:tcW w:w="3487" w:type="dxa"/>
          </w:tcPr>
          <w:p w:rsidR="00860517" w:rsidRPr="00860517" w:rsidRDefault="009151C6" w:rsidP="00860517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</w:t>
            </w:r>
            <w:r w:rsidR="00860517" w:rsidRPr="00860517">
              <w:rPr>
                <w:rFonts w:ascii="Calibri" w:hAnsi="Calibri" w:cs="Calibri"/>
                <w:b/>
                <w:color w:val="000000"/>
              </w:rPr>
              <w:t>ongruità per l'Ufficio Automezzi</w:t>
            </w:r>
          </w:p>
          <w:p w:rsidR="00860517" w:rsidRPr="00860517" w:rsidRDefault="00860517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60517" w:rsidRDefault="00860517" w:rsidP="008605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Accertamento dello stato di fatto; Valutazione della convenienza ed economicità dell'intervento correttivo; Comparazione offerte; </w:t>
            </w:r>
            <w:r>
              <w:rPr>
                <w:rFonts w:ascii="Calibri" w:hAnsi="Calibri" w:cs="Calibri"/>
                <w:color w:val="000000"/>
              </w:rPr>
              <w:lastRenderedPageBreak/>
              <w:t>Rilascio parere o visto di congruità.</w:t>
            </w:r>
          </w:p>
          <w:p w:rsidR="00860517" w:rsidRDefault="00860517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5F48DD" w:rsidRDefault="005F48DD" w:rsidP="005F48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Valutazione della convenienza ed economicità dell'intervento correttivo; Comparazione offerte; Rilascio parere o visto di congruità.</w:t>
            </w:r>
          </w:p>
          <w:p w:rsidR="00860517" w:rsidRDefault="00860517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1B7481" w:rsidRPr="001B7481" w:rsidRDefault="001B7481" w:rsidP="001B7481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1B7481">
              <w:rPr>
                <w:rFonts w:ascii="Calibri" w:eastAsia="Calibri" w:hAnsi="Calibri" w:cs="Times New Roman"/>
              </w:rPr>
              <w:lastRenderedPageBreak/>
              <w:t xml:space="preserve">Piattaforma TEAMS </w:t>
            </w:r>
          </w:p>
          <w:p w:rsidR="00860517" w:rsidRDefault="001B7481" w:rsidP="001B7481">
            <w:pPr>
              <w:jc w:val="center"/>
              <w:rPr>
                <w:b/>
                <w:sz w:val="24"/>
                <w:szCs w:val="24"/>
              </w:rPr>
            </w:pPr>
            <w:r w:rsidRPr="001B7481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860517" w:rsidTr="00A72E44">
        <w:tc>
          <w:tcPr>
            <w:tcW w:w="3487" w:type="dxa"/>
          </w:tcPr>
          <w:p w:rsidR="00860517" w:rsidRPr="00860517" w:rsidRDefault="00860517" w:rsidP="00860517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60517">
              <w:rPr>
                <w:rFonts w:ascii="Calibri" w:hAnsi="Calibri" w:cs="Calibri"/>
                <w:b/>
                <w:color w:val="000000"/>
              </w:rPr>
              <w:lastRenderedPageBreak/>
              <w:t>Verbale di fuori uso per Automezzi</w:t>
            </w:r>
          </w:p>
          <w:p w:rsidR="00860517" w:rsidRPr="00860517" w:rsidRDefault="00860517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60517" w:rsidRDefault="00860517" w:rsidP="0086051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Constatazione dello stato di fatto;  Acquisizione offerte; Valutazione della NON convenienza ed economicità dell'intervento correttivo, laddove possibile; Emissione del Verbale di fuori uso .</w:t>
            </w:r>
          </w:p>
          <w:p w:rsidR="00860517" w:rsidRDefault="00860517" w:rsidP="006813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60517" w:rsidRDefault="005F48DD" w:rsidP="006813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Acquisizione offerte; Valutazione della NON convenienza ed economicità dell'intervento correttivo, laddove possibile; Emissione del Verbale di fuori uso .</w:t>
            </w:r>
          </w:p>
        </w:tc>
        <w:tc>
          <w:tcPr>
            <w:tcW w:w="3487" w:type="dxa"/>
          </w:tcPr>
          <w:p w:rsidR="001B7481" w:rsidRPr="001B7481" w:rsidRDefault="001B7481" w:rsidP="001B7481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1B7481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860517" w:rsidRDefault="001B7481" w:rsidP="001B7481">
            <w:pPr>
              <w:jc w:val="center"/>
              <w:rPr>
                <w:b/>
                <w:sz w:val="24"/>
                <w:szCs w:val="24"/>
              </w:rPr>
            </w:pPr>
            <w:r w:rsidRPr="001B7481">
              <w:rPr>
                <w:rFonts w:ascii="Calibri" w:eastAsia="Calibri" w:hAnsi="Calibri" w:cs="Times New Roman"/>
              </w:rPr>
              <w:t>Tessera ATE</w:t>
            </w:r>
          </w:p>
        </w:tc>
      </w:tr>
    </w:tbl>
    <w:p w:rsidR="00A72E44" w:rsidRPr="006813BE" w:rsidRDefault="00A72E44" w:rsidP="006813BE">
      <w:pPr>
        <w:jc w:val="center"/>
        <w:rPr>
          <w:b/>
          <w:sz w:val="24"/>
          <w:szCs w:val="24"/>
        </w:rPr>
      </w:pPr>
    </w:p>
    <w:sectPr w:rsidR="00A72E44" w:rsidRPr="006813BE" w:rsidSect="00C26110">
      <w:pgSz w:w="16838" w:h="11906" w:orient="landscape"/>
      <w:pgMar w:top="1440" w:right="1440" w:bottom="141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3BE"/>
    <w:rsid w:val="00024E3B"/>
    <w:rsid w:val="000907F3"/>
    <w:rsid w:val="001360B4"/>
    <w:rsid w:val="001B7481"/>
    <w:rsid w:val="002D0EAC"/>
    <w:rsid w:val="0030383D"/>
    <w:rsid w:val="0034738E"/>
    <w:rsid w:val="003B363E"/>
    <w:rsid w:val="00450C90"/>
    <w:rsid w:val="00461D78"/>
    <w:rsid w:val="004C5301"/>
    <w:rsid w:val="004F41B5"/>
    <w:rsid w:val="005C5496"/>
    <w:rsid w:val="005F48DD"/>
    <w:rsid w:val="006552A3"/>
    <w:rsid w:val="006813BE"/>
    <w:rsid w:val="006E702A"/>
    <w:rsid w:val="007B3AB7"/>
    <w:rsid w:val="007F7400"/>
    <w:rsid w:val="00860517"/>
    <w:rsid w:val="008B19C5"/>
    <w:rsid w:val="008E6A00"/>
    <w:rsid w:val="009151C6"/>
    <w:rsid w:val="00972641"/>
    <w:rsid w:val="009F1E0B"/>
    <w:rsid w:val="00A55AC6"/>
    <w:rsid w:val="00A72E44"/>
    <w:rsid w:val="00B14558"/>
    <w:rsid w:val="00B855FF"/>
    <w:rsid w:val="00C26110"/>
    <w:rsid w:val="00D1719D"/>
    <w:rsid w:val="00D53059"/>
    <w:rsid w:val="00D6107C"/>
    <w:rsid w:val="00DD3B16"/>
    <w:rsid w:val="00EA4610"/>
    <w:rsid w:val="00ED1DEC"/>
    <w:rsid w:val="00EE753E"/>
    <w:rsid w:val="00F00B44"/>
    <w:rsid w:val="00F148FB"/>
    <w:rsid w:val="00F27916"/>
    <w:rsid w:val="00F54AA1"/>
    <w:rsid w:val="00F73383"/>
    <w:rsid w:val="00FC004F"/>
    <w:rsid w:val="00FE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2327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Win7Pc</cp:lastModifiedBy>
  <cp:revision>2</cp:revision>
  <dcterms:created xsi:type="dcterms:W3CDTF">2020-12-09T16:11:00Z</dcterms:created>
  <dcterms:modified xsi:type="dcterms:W3CDTF">2020-12-09T16:11:00Z</dcterms:modified>
</cp:coreProperties>
</file>